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5882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领导班子2024年度民主生活会对照检查问题整改方案</w:t>
      </w:r>
    </w:p>
    <w:tbl>
      <w:tblPr>
        <w:tblStyle w:val="5"/>
        <w:tblpPr w:leftFromText="180" w:rightFromText="180" w:vertAnchor="text" w:horzAnchor="page" w:tblpX="963" w:tblpY="505"/>
        <w:tblOverlap w:val="never"/>
        <w:tblW w:w="15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88"/>
        <w:gridCol w:w="1069"/>
        <w:gridCol w:w="4122"/>
        <w:gridCol w:w="4371"/>
        <w:gridCol w:w="1350"/>
        <w:gridCol w:w="1257"/>
        <w:gridCol w:w="1042"/>
        <w:gridCol w:w="1017"/>
      </w:tblGrid>
      <w:tr w14:paraId="3CA5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3" w:hRule="atLeast"/>
          <w:tblHeader/>
        </w:trPr>
        <w:tc>
          <w:tcPr>
            <w:tcW w:w="1088" w:type="dxa"/>
            <w:noWrap w:val="0"/>
            <w:vAlign w:val="center"/>
          </w:tcPr>
          <w:p w14:paraId="2034F41F">
            <w:pPr>
              <w:widowControl/>
              <w:spacing w:line="240" w:lineRule="auto"/>
              <w:ind w:leftChars="0"/>
              <w:jc w:val="center"/>
              <w:textAlignment w:val="center"/>
              <w:rPr>
                <w:rFonts w:ascii="仿宋_GB2312" w:hAnsi="仿宋_GB2312" w:eastAsia="仿宋_GB2312" w:cs="仿宋_GB2312"/>
                <w:sz w:val="24"/>
              </w:rPr>
            </w:pPr>
            <w:r>
              <w:rPr>
                <w:rFonts w:hint="eastAsia" w:ascii="仿宋_GB2312" w:hAnsi="宋体" w:eastAsia="仿宋_GB2312" w:cs="仿宋_GB2312"/>
                <w:b/>
                <w:sz w:val="24"/>
              </w:rPr>
              <w:t>分类</w:t>
            </w:r>
          </w:p>
        </w:tc>
        <w:tc>
          <w:tcPr>
            <w:tcW w:w="1069" w:type="dxa"/>
            <w:noWrap w:val="0"/>
            <w:vAlign w:val="center"/>
          </w:tcPr>
          <w:p w14:paraId="41812B26">
            <w:pPr>
              <w:widowControl/>
              <w:spacing w:line="240" w:lineRule="auto"/>
              <w:ind w:leftChars="0"/>
              <w:jc w:val="center"/>
              <w:textAlignment w:val="center"/>
              <w:rPr>
                <w:rFonts w:hint="eastAsia" w:ascii="仿宋_GB2312" w:hAnsi="仿宋_GB2312" w:eastAsia="仿宋_GB2312" w:cs="仿宋_GB2312"/>
                <w:sz w:val="24"/>
              </w:rPr>
            </w:pPr>
            <w:r>
              <w:rPr>
                <w:rFonts w:hint="eastAsia" w:ascii="仿宋_GB2312" w:hAnsi="宋体" w:eastAsia="仿宋_GB2312" w:cs="仿宋_GB2312"/>
                <w:b/>
                <w:kern w:val="0"/>
                <w:sz w:val="24"/>
                <w:lang w:bidi="ar"/>
              </w:rPr>
              <w:t>存在问题</w:t>
            </w:r>
          </w:p>
        </w:tc>
        <w:tc>
          <w:tcPr>
            <w:tcW w:w="4122" w:type="dxa"/>
            <w:noWrap w:val="0"/>
            <w:vAlign w:val="center"/>
          </w:tcPr>
          <w:p w14:paraId="15879153">
            <w:pPr>
              <w:widowControl/>
              <w:spacing w:line="240" w:lineRule="auto"/>
              <w:ind w:leftChars="0"/>
              <w:jc w:val="center"/>
              <w:textAlignment w:val="center"/>
              <w:rPr>
                <w:rFonts w:hint="default" w:ascii="仿宋_GB2312" w:hAnsi="宋体" w:eastAsia="仿宋_GB2312" w:cs="仿宋_GB2312"/>
                <w:b/>
                <w:kern w:val="0"/>
                <w:sz w:val="24"/>
                <w:lang w:val="en-US" w:eastAsia="zh-CN" w:bidi="ar"/>
              </w:rPr>
            </w:pPr>
            <w:r>
              <w:rPr>
                <w:rFonts w:hint="eastAsia" w:ascii="仿宋_GB2312" w:hAnsi="宋体" w:eastAsia="仿宋_GB2312" w:cs="仿宋_GB2312"/>
                <w:b/>
                <w:kern w:val="0"/>
                <w:sz w:val="24"/>
                <w:lang w:val="en-US" w:eastAsia="zh-CN" w:bidi="ar"/>
              </w:rPr>
              <w:t>具体表现</w:t>
            </w:r>
          </w:p>
        </w:tc>
        <w:tc>
          <w:tcPr>
            <w:tcW w:w="4371" w:type="dxa"/>
            <w:noWrap w:val="0"/>
            <w:vAlign w:val="center"/>
          </w:tcPr>
          <w:p w14:paraId="699F1411">
            <w:pPr>
              <w:widowControl/>
              <w:spacing w:line="240" w:lineRule="auto"/>
              <w:ind w:leftChars="0"/>
              <w:jc w:val="center"/>
              <w:textAlignment w:val="center"/>
              <w:rPr>
                <w:rFonts w:ascii="仿宋_GB2312" w:hAnsi="仿宋_GB2312" w:eastAsia="仿宋_GB2312" w:cs="仿宋_GB2312"/>
                <w:sz w:val="24"/>
              </w:rPr>
            </w:pPr>
            <w:r>
              <w:rPr>
                <w:rFonts w:ascii="仿宋_GB2312" w:hAnsi="宋体" w:eastAsia="仿宋_GB2312" w:cs="仿宋_GB2312"/>
                <w:b/>
                <w:kern w:val="0"/>
                <w:sz w:val="22"/>
                <w:szCs w:val="22"/>
                <w:lang w:bidi="ar"/>
              </w:rPr>
              <w:t>整改措施</w:t>
            </w:r>
          </w:p>
        </w:tc>
        <w:tc>
          <w:tcPr>
            <w:tcW w:w="1350" w:type="dxa"/>
            <w:noWrap w:val="0"/>
            <w:vAlign w:val="center"/>
          </w:tcPr>
          <w:p w14:paraId="54CB07E4">
            <w:pPr>
              <w:widowControl/>
              <w:spacing w:line="240" w:lineRule="auto"/>
              <w:ind w:leftChars="0"/>
              <w:jc w:val="center"/>
              <w:textAlignment w:val="center"/>
              <w:rPr>
                <w:rFonts w:ascii="仿宋_GB2312" w:hAnsi="宋体" w:eastAsia="仿宋_GB2312" w:cs="仿宋_GB2312"/>
                <w:b/>
                <w:kern w:val="0"/>
                <w:sz w:val="24"/>
                <w:lang w:bidi="ar"/>
              </w:rPr>
            </w:pPr>
            <w:r>
              <w:rPr>
                <w:rFonts w:ascii="仿宋_GB2312" w:hAnsi="宋体" w:eastAsia="仿宋_GB2312" w:cs="仿宋_GB2312"/>
                <w:b/>
                <w:kern w:val="0"/>
                <w:sz w:val="24"/>
                <w:lang w:bidi="ar"/>
              </w:rPr>
              <w:t>责任</w:t>
            </w:r>
          </w:p>
          <w:p w14:paraId="3D166294">
            <w:pPr>
              <w:widowControl/>
              <w:spacing w:line="240" w:lineRule="auto"/>
              <w:ind w:leftChars="0"/>
              <w:jc w:val="center"/>
              <w:textAlignment w:val="center"/>
              <w:rPr>
                <w:rFonts w:hint="eastAsia" w:ascii="仿宋_GB2312" w:hAnsi="仿宋_GB2312" w:eastAsia="仿宋_GB2312" w:cs="仿宋_GB2312"/>
                <w:sz w:val="24"/>
              </w:rPr>
            </w:pPr>
            <w:r>
              <w:rPr>
                <w:rFonts w:ascii="仿宋_GB2312" w:hAnsi="宋体" w:eastAsia="仿宋_GB2312" w:cs="仿宋_GB2312"/>
                <w:b/>
                <w:kern w:val="0"/>
                <w:sz w:val="24"/>
                <w:lang w:bidi="ar"/>
              </w:rPr>
              <w:t>领导</w:t>
            </w:r>
          </w:p>
        </w:tc>
        <w:tc>
          <w:tcPr>
            <w:tcW w:w="1257" w:type="dxa"/>
            <w:noWrap w:val="0"/>
            <w:vAlign w:val="center"/>
          </w:tcPr>
          <w:p w14:paraId="7B3384EF">
            <w:pPr>
              <w:widowControl/>
              <w:spacing w:line="240" w:lineRule="auto"/>
              <w:ind w:leftChars="0"/>
              <w:jc w:val="center"/>
              <w:textAlignment w:val="center"/>
              <w:rPr>
                <w:rFonts w:ascii="仿宋_GB2312" w:hAnsi="宋体" w:eastAsia="仿宋_GB2312" w:cs="仿宋_GB2312"/>
                <w:b/>
                <w:kern w:val="0"/>
                <w:sz w:val="24"/>
                <w:lang w:bidi="ar"/>
              </w:rPr>
            </w:pPr>
            <w:r>
              <w:rPr>
                <w:rFonts w:ascii="仿宋_GB2312" w:hAnsi="宋体" w:eastAsia="仿宋_GB2312" w:cs="仿宋_GB2312"/>
                <w:b/>
                <w:kern w:val="0"/>
                <w:sz w:val="24"/>
                <w:lang w:bidi="ar"/>
              </w:rPr>
              <w:t>责任</w:t>
            </w:r>
          </w:p>
          <w:p w14:paraId="687F735E">
            <w:pPr>
              <w:widowControl/>
              <w:spacing w:line="240" w:lineRule="auto"/>
              <w:ind w:leftChars="0"/>
              <w:jc w:val="center"/>
              <w:textAlignment w:val="center"/>
              <w:rPr>
                <w:rFonts w:hint="eastAsia" w:ascii="仿宋_GB2312" w:hAnsi="仿宋_GB2312" w:eastAsia="仿宋_GB2312" w:cs="仿宋_GB2312"/>
                <w:sz w:val="24"/>
              </w:rPr>
            </w:pPr>
            <w:r>
              <w:rPr>
                <w:rFonts w:ascii="仿宋_GB2312" w:hAnsi="宋体" w:eastAsia="仿宋_GB2312" w:cs="仿宋_GB2312"/>
                <w:b/>
                <w:kern w:val="0"/>
                <w:sz w:val="24"/>
                <w:lang w:bidi="ar"/>
              </w:rPr>
              <w:t>单位</w:t>
            </w:r>
          </w:p>
        </w:tc>
        <w:tc>
          <w:tcPr>
            <w:tcW w:w="1042" w:type="dxa"/>
            <w:noWrap w:val="0"/>
            <w:vAlign w:val="center"/>
          </w:tcPr>
          <w:p w14:paraId="0597CF4C">
            <w:pPr>
              <w:widowControl/>
              <w:spacing w:line="240" w:lineRule="auto"/>
              <w:ind w:leftChars="0"/>
              <w:jc w:val="center"/>
              <w:textAlignment w:val="center"/>
              <w:rPr>
                <w:rFonts w:hint="eastAsia" w:ascii="仿宋_GB2312" w:hAnsi="仿宋_GB2312" w:eastAsia="仿宋_GB2312" w:cs="仿宋_GB2312"/>
                <w:sz w:val="24"/>
              </w:rPr>
            </w:pPr>
            <w:r>
              <w:rPr>
                <w:rFonts w:ascii="仿宋_GB2312" w:hAnsi="宋体" w:eastAsia="仿宋_GB2312" w:cs="仿宋_GB2312"/>
                <w:b/>
                <w:kern w:val="0"/>
                <w:sz w:val="24"/>
                <w:lang w:bidi="ar"/>
              </w:rPr>
              <w:t>责任人</w:t>
            </w:r>
          </w:p>
        </w:tc>
        <w:tc>
          <w:tcPr>
            <w:tcW w:w="1017" w:type="dxa"/>
            <w:noWrap w:val="0"/>
            <w:vAlign w:val="center"/>
          </w:tcPr>
          <w:p w14:paraId="5A146DAB">
            <w:pPr>
              <w:widowControl/>
              <w:spacing w:line="240" w:lineRule="auto"/>
              <w:ind w:leftChars="0"/>
              <w:jc w:val="center"/>
              <w:textAlignment w:val="center"/>
              <w:rPr>
                <w:rFonts w:ascii="仿宋_GB2312" w:hAnsi="宋体" w:eastAsia="仿宋_GB2312" w:cs="仿宋_GB2312"/>
                <w:b/>
                <w:kern w:val="0"/>
                <w:sz w:val="24"/>
                <w:lang w:bidi="ar"/>
              </w:rPr>
            </w:pPr>
            <w:r>
              <w:rPr>
                <w:rFonts w:ascii="仿宋_GB2312" w:hAnsi="宋体" w:eastAsia="仿宋_GB2312" w:cs="仿宋_GB2312"/>
                <w:b/>
                <w:kern w:val="0"/>
                <w:sz w:val="24"/>
                <w:lang w:bidi="ar"/>
              </w:rPr>
              <w:t>完成</w:t>
            </w:r>
          </w:p>
          <w:p w14:paraId="4CF669CA">
            <w:pPr>
              <w:widowControl/>
              <w:spacing w:line="240" w:lineRule="auto"/>
              <w:ind w:leftChars="0"/>
              <w:jc w:val="center"/>
              <w:textAlignment w:val="center"/>
              <w:rPr>
                <w:rFonts w:ascii="仿宋_GB2312" w:hAnsi="仿宋_GB2312" w:eastAsia="仿宋_GB2312" w:cs="仿宋_GB2312"/>
                <w:sz w:val="24"/>
              </w:rPr>
            </w:pPr>
            <w:r>
              <w:rPr>
                <w:rFonts w:ascii="仿宋_GB2312" w:hAnsi="宋体" w:eastAsia="仿宋_GB2312" w:cs="仿宋_GB2312"/>
                <w:b/>
                <w:kern w:val="0"/>
                <w:sz w:val="24"/>
                <w:lang w:bidi="ar"/>
              </w:rPr>
              <w:t>时限</w:t>
            </w:r>
          </w:p>
        </w:tc>
      </w:tr>
      <w:tr w14:paraId="44EA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4" w:hRule="atLeast"/>
        </w:trPr>
        <w:tc>
          <w:tcPr>
            <w:tcW w:w="15316" w:type="dxa"/>
            <w:gridSpan w:val="8"/>
            <w:noWrap w:val="0"/>
            <w:vAlign w:val="center"/>
          </w:tcPr>
          <w:p w14:paraId="0A687EDC">
            <w:pPr>
              <w:widowControl/>
              <w:spacing w:line="240" w:lineRule="auto"/>
              <w:ind w:leftChars="0"/>
              <w:jc w:val="left"/>
              <w:textAlignment w:val="center"/>
              <w:rPr>
                <w:rFonts w:hint="eastAsia" w:ascii="楷体" w:hAnsi="楷体" w:eastAsia="楷体" w:cs="楷体"/>
                <w:color w:val="000000"/>
                <w:sz w:val="28"/>
                <w:szCs w:val="28"/>
                <w:lang w:eastAsia="zh-CN"/>
              </w:rPr>
            </w:pPr>
            <w:r>
              <w:rPr>
                <w:rFonts w:hint="eastAsia" w:ascii="楷体" w:hAnsi="楷体" w:eastAsia="楷体" w:cs="楷体"/>
                <w:color w:val="000000"/>
                <w:sz w:val="28"/>
                <w:szCs w:val="28"/>
              </w:rPr>
              <w:t>一、</w:t>
            </w:r>
            <w:r>
              <w:rPr>
                <w:rFonts w:hint="eastAsia" w:ascii="楷体" w:hAnsi="楷体" w:eastAsia="楷体" w:cs="楷体"/>
                <w:color w:val="000000"/>
                <w:sz w:val="28"/>
                <w:szCs w:val="28"/>
                <w:lang w:val="en-US" w:eastAsia="zh-CN"/>
              </w:rPr>
              <w:t>4</w:t>
            </w:r>
            <w:r>
              <w:rPr>
                <w:rFonts w:hint="eastAsia" w:ascii="楷体" w:hAnsi="楷体" w:eastAsia="楷体" w:cs="楷体"/>
                <w:color w:val="000000"/>
                <w:sz w:val="28"/>
                <w:szCs w:val="28"/>
              </w:rPr>
              <w:t>个方面突出问题</w:t>
            </w:r>
          </w:p>
        </w:tc>
      </w:tr>
      <w:tr w14:paraId="4430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088" w:type="dxa"/>
            <w:vMerge w:val="restart"/>
            <w:noWrap w:val="0"/>
            <w:vAlign w:val="center"/>
          </w:tcPr>
          <w:p w14:paraId="68973177">
            <w:pPr>
              <w:widowControl/>
              <w:spacing w:line="240" w:lineRule="auto"/>
              <w:ind w:leftChars="0"/>
              <w:textAlignment w:val="center"/>
              <w:rPr>
                <w:rFonts w:hint="default" w:ascii="仿宋_GB2312" w:hAnsi="仿宋_GB2312" w:eastAsia="仿宋_GB2312" w:cs="仿宋_GB2312"/>
                <w:sz w:val="24"/>
                <w:lang w:val="en-US"/>
              </w:rPr>
            </w:pPr>
            <w:r>
              <w:rPr>
                <w:rFonts w:hint="eastAsia" w:ascii="仿宋_GB2312" w:hAnsi="仿宋_GB2312" w:eastAsia="仿宋_GB2312" w:cs="仿宋_GB2312"/>
                <w:sz w:val="24"/>
                <w:lang w:val="en-US" w:eastAsia="zh-CN"/>
              </w:rPr>
              <w:t>1.带头严守政治纪律和政治规矩，维护党的团结统一方面</w:t>
            </w:r>
          </w:p>
        </w:tc>
        <w:tc>
          <w:tcPr>
            <w:tcW w:w="1069" w:type="dxa"/>
            <w:vMerge w:val="restart"/>
            <w:noWrap w:val="0"/>
            <w:vAlign w:val="center"/>
          </w:tcPr>
          <w:p w14:paraId="3A1E8A94">
            <w:pPr>
              <w:widowControl/>
              <w:spacing w:line="240" w:lineRule="auto"/>
              <w:ind w:leftChars="0"/>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学思践悟还不够深入</w:t>
            </w:r>
          </w:p>
        </w:tc>
        <w:tc>
          <w:tcPr>
            <w:tcW w:w="4122" w:type="dxa"/>
            <w:noWrap w:val="0"/>
            <w:vAlign w:val="center"/>
          </w:tcPr>
          <w:p w14:paraId="1FF4EE45">
            <w:pPr>
              <w:widowControl/>
              <w:spacing w:line="240" w:lineRule="auto"/>
              <w:ind w:leftChars="0"/>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在系统学、深入学上还需进一步加强</w:t>
            </w:r>
          </w:p>
        </w:tc>
        <w:tc>
          <w:tcPr>
            <w:tcW w:w="4371" w:type="dxa"/>
            <w:noWrap w:val="0"/>
            <w:vAlign w:val="center"/>
          </w:tcPr>
          <w:p w14:paraId="5BFDEEFB">
            <w:pPr>
              <w:widowControl/>
              <w:spacing w:line="240" w:lineRule="auto"/>
              <w:ind w:leftChars="0"/>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1.创新理论学习形式方法，增加专题学习研讨次数；邀请专家、学者进行辅导报告，进一步拓宽学习视野，加深对党的创新理论内涵实质理解。</w:t>
            </w:r>
          </w:p>
          <w:p w14:paraId="67CCDCD1">
            <w:pPr>
              <w:widowControl/>
              <w:spacing w:line="240" w:lineRule="auto"/>
              <w:ind w:leftChars="0"/>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2.持续办好“湄园讲坛”，不断增强理论武装吸引力、亲和力、说服力。</w:t>
            </w:r>
          </w:p>
          <w:p w14:paraId="0641B6DD">
            <w:pPr>
              <w:widowControl/>
              <w:spacing w:line="240" w:lineRule="auto"/>
              <w:ind w:leftChars="0"/>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3.坚持理论联系实际的学风，将理论学习与职业院校改革发展需要、学院建设发展的重大问题相结合，用党的创新理论指导实践，切实将理论学习成果转化为推动学院高质量发展的成效。</w:t>
            </w:r>
          </w:p>
          <w:p w14:paraId="0F171EA3">
            <w:pPr>
              <w:widowControl/>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1350" w:type="dxa"/>
            <w:noWrap w:val="0"/>
            <w:vAlign w:val="center"/>
          </w:tcPr>
          <w:p w14:paraId="1F370481">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柯金国</w:t>
            </w:r>
          </w:p>
          <w:p w14:paraId="46C09ACD">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许冬红</w:t>
            </w:r>
          </w:p>
          <w:p w14:paraId="23461D69">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林新钊</w:t>
            </w:r>
          </w:p>
          <w:p w14:paraId="04FD9DF5">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陈金毓</w:t>
            </w:r>
          </w:p>
          <w:p w14:paraId="6AA7A753">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阮春高</w:t>
            </w:r>
          </w:p>
          <w:p w14:paraId="5A52289F">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张凡</w:t>
            </w:r>
          </w:p>
          <w:p w14:paraId="3AF295A4">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兰希红</w:t>
            </w:r>
          </w:p>
        </w:tc>
        <w:tc>
          <w:tcPr>
            <w:tcW w:w="1257" w:type="dxa"/>
            <w:noWrap w:val="0"/>
            <w:vAlign w:val="center"/>
          </w:tcPr>
          <w:p w14:paraId="49062446">
            <w:pPr>
              <w:widowControl/>
              <w:spacing w:line="240" w:lineRule="auto"/>
              <w:ind w:leftChars="0"/>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宣传部</w:t>
            </w:r>
          </w:p>
        </w:tc>
        <w:tc>
          <w:tcPr>
            <w:tcW w:w="1042" w:type="dxa"/>
            <w:noWrap w:val="0"/>
            <w:vAlign w:val="center"/>
          </w:tcPr>
          <w:p w14:paraId="0203469D">
            <w:pPr>
              <w:widowControl/>
              <w:spacing w:line="240" w:lineRule="auto"/>
              <w:ind w:leftChars="0"/>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吴志先</w:t>
            </w:r>
          </w:p>
        </w:tc>
        <w:tc>
          <w:tcPr>
            <w:tcW w:w="1017" w:type="dxa"/>
            <w:noWrap w:val="0"/>
            <w:vAlign w:val="center"/>
          </w:tcPr>
          <w:p w14:paraId="4C9BC28F">
            <w:pPr>
              <w:widowControl/>
              <w:spacing w:line="240" w:lineRule="auto"/>
              <w:ind w:leftChars="0"/>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长久立</w:t>
            </w:r>
          </w:p>
        </w:tc>
      </w:tr>
      <w:tr w14:paraId="6F70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6" w:hRule="atLeast"/>
        </w:trPr>
        <w:tc>
          <w:tcPr>
            <w:tcW w:w="1088" w:type="dxa"/>
            <w:vMerge w:val="continue"/>
            <w:noWrap w:val="0"/>
            <w:vAlign w:val="center"/>
          </w:tcPr>
          <w:p w14:paraId="1F41EB1E">
            <w:pPr>
              <w:spacing w:line="240" w:lineRule="auto"/>
              <w:ind w:leftChars="0"/>
              <w:rPr>
                <w:rFonts w:ascii="仿宋_GB2312" w:hAnsi="宋体" w:eastAsia="仿宋_GB2312" w:cs="仿宋_GB2312"/>
                <w:b/>
                <w:sz w:val="24"/>
              </w:rPr>
            </w:pPr>
          </w:p>
        </w:tc>
        <w:tc>
          <w:tcPr>
            <w:tcW w:w="1069" w:type="dxa"/>
            <w:vMerge w:val="continue"/>
            <w:noWrap w:val="0"/>
            <w:vAlign w:val="center"/>
          </w:tcPr>
          <w:p w14:paraId="5E494194">
            <w:pPr>
              <w:widowControl/>
              <w:tabs>
                <w:tab w:val="left" w:pos="1123"/>
              </w:tabs>
              <w:spacing w:line="240" w:lineRule="auto"/>
              <w:ind w:leftChars="0"/>
              <w:textAlignment w:val="center"/>
              <w:rPr>
                <w:rFonts w:hint="default" w:ascii="仿宋_GB2312" w:hAnsi="宋体" w:eastAsia="仿宋_GB2312" w:cs="仿宋_GB2312"/>
                <w:kern w:val="0"/>
                <w:sz w:val="22"/>
                <w:szCs w:val="22"/>
                <w:lang w:val="en-US" w:eastAsia="zh-CN" w:bidi="ar"/>
              </w:rPr>
            </w:pPr>
          </w:p>
        </w:tc>
        <w:tc>
          <w:tcPr>
            <w:tcW w:w="4122" w:type="dxa"/>
            <w:noWrap w:val="0"/>
            <w:vAlign w:val="center"/>
          </w:tcPr>
          <w:p w14:paraId="61C94AD1">
            <w:pPr>
              <w:widowControl/>
              <w:spacing w:line="240" w:lineRule="auto"/>
              <w:ind w:leftChars="0"/>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有时候存在为了学而学，停留在传达学习文件层面，对一些理论知识还存在一知半解的情况，比如，对新出台的《教育强国建设规划纲要（2024-2035）》等职业教育相关政策法规缺乏系统性和全面性研究，专题研讨、案例分析等还需更加深入</w:t>
            </w:r>
          </w:p>
        </w:tc>
        <w:tc>
          <w:tcPr>
            <w:tcW w:w="4371" w:type="dxa"/>
            <w:noWrap w:val="0"/>
            <w:vAlign w:val="center"/>
          </w:tcPr>
          <w:p w14:paraId="7E4C7A3D">
            <w:pPr>
              <w:widowControl/>
              <w:numPr>
                <w:ilvl w:val="0"/>
                <w:numId w:val="0"/>
              </w:numPr>
              <w:spacing w:line="240" w:lineRule="auto"/>
              <w:ind w:left="0" w:leftChars="0"/>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1</w:t>
            </w:r>
            <w:r>
              <w:rPr>
                <w:rFonts w:hint="default" w:ascii="仿宋_GB2312" w:hAnsi="宋体" w:eastAsia="仿宋_GB2312" w:cs="仿宋_GB2312"/>
                <w:kern w:val="0"/>
                <w:sz w:val="22"/>
                <w:szCs w:val="22"/>
                <w:lang w:val="en-US" w:eastAsia="zh-CN" w:bidi="ar"/>
              </w:rPr>
              <w:t>.</w:t>
            </w:r>
            <w:r>
              <w:rPr>
                <w:rFonts w:hint="eastAsia" w:ascii="仿宋_GB2312" w:hAnsi="宋体" w:eastAsia="仿宋_GB2312" w:cs="仿宋_GB2312"/>
                <w:kern w:val="0"/>
                <w:sz w:val="22"/>
                <w:szCs w:val="22"/>
                <w:lang w:val="en-US" w:eastAsia="zh-CN" w:bidi="ar"/>
              </w:rPr>
              <w:t>建立理论学习清单机制，</w:t>
            </w:r>
            <w:r>
              <w:rPr>
                <w:rFonts w:hint="default" w:ascii="仿宋_GB2312" w:hAnsi="宋体" w:eastAsia="仿宋_GB2312" w:cs="仿宋_GB2312"/>
                <w:kern w:val="0"/>
                <w:sz w:val="22"/>
                <w:szCs w:val="22"/>
                <w:lang w:val="en-US" w:eastAsia="zh-CN" w:bidi="ar"/>
              </w:rPr>
              <w:t>在党委中心组学习中增设“职业教育政策法规专题学习模块”，按季度制定学习计划，系统覆盖</w:t>
            </w:r>
            <w:r>
              <w:rPr>
                <w:rFonts w:hint="eastAsia" w:ascii="仿宋_GB2312" w:hAnsi="宋体" w:eastAsia="仿宋_GB2312" w:cs="仿宋_GB2312"/>
                <w:kern w:val="0"/>
                <w:sz w:val="22"/>
                <w:szCs w:val="22"/>
                <w:lang w:val="en-US" w:eastAsia="zh-CN" w:bidi="ar"/>
              </w:rPr>
              <w:t>《教育强国建设规划纲要（2024-2035）》、</w:t>
            </w:r>
            <w:r>
              <w:rPr>
                <w:rFonts w:hint="default" w:ascii="仿宋_GB2312" w:hAnsi="宋体" w:eastAsia="仿宋_GB2312" w:cs="仿宋_GB2312"/>
                <w:kern w:val="0"/>
                <w:sz w:val="22"/>
                <w:szCs w:val="22"/>
                <w:lang w:val="en-US" w:eastAsia="zh-CN" w:bidi="ar"/>
              </w:rPr>
              <w:t>《国家职业教育改革实施方案》</w:t>
            </w:r>
            <w:r>
              <w:rPr>
                <w:rFonts w:hint="eastAsia" w:ascii="仿宋_GB2312" w:hAnsi="宋体" w:eastAsia="仿宋_GB2312" w:cs="仿宋_GB2312"/>
                <w:kern w:val="0"/>
                <w:sz w:val="22"/>
                <w:szCs w:val="22"/>
                <w:lang w:val="en-US" w:eastAsia="zh-CN" w:bidi="ar"/>
              </w:rPr>
              <w:t>、</w:t>
            </w:r>
            <w:r>
              <w:rPr>
                <w:rFonts w:hint="default" w:ascii="仿宋_GB2312" w:hAnsi="宋体" w:eastAsia="仿宋_GB2312" w:cs="仿宋_GB2312"/>
                <w:kern w:val="0"/>
                <w:sz w:val="22"/>
                <w:szCs w:val="22"/>
                <w:lang w:val="en-US" w:eastAsia="zh-CN" w:bidi="ar"/>
              </w:rPr>
              <w:t>《职业教育法》等核心文件。</w:t>
            </w:r>
          </w:p>
          <w:p w14:paraId="3E765F95">
            <w:pPr>
              <w:widowControl/>
              <w:numPr>
                <w:ilvl w:val="0"/>
                <w:numId w:val="0"/>
              </w:numPr>
              <w:spacing w:line="240" w:lineRule="auto"/>
              <w:ind w:left="0" w:leftChars="0"/>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2.</w:t>
            </w:r>
            <w:r>
              <w:rPr>
                <w:rFonts w:hint="default" w:ascii="仿宋_GB2312" w:hAnsi="宋体" w:eastAsia="仿宋_GB2312" w:cs="仿宋_GB2312"/>
                <w:kern w:val="0"/>
                <w:sz w:val="22"/>
                <w:szCs w:val="22"/>
                <w:lang w:val="en-US" w:eastAsia="zh-CN" w:bidi="ar"/>
              </w:rPr>
              <w:t>建立班子成员常态化学习机制：定期组织现代职业教育政策</w:t>
            </w:r>
            <w:r>
              <w:rPr>
                <w:rFonts w:hint="eastAsia" w:ascii="仿宋_GB2312" w:hAnsi="宋体" w:eastAsia="仿宋_GB2312" w:cs="仿宋_GB2312"/>
                <w:kern w:val="0"/>
                <w:sz w:val="22"/>
                <w:szCs w:val="22"/>
                <w:lang w:val="en-US" w:eastAsia="zh-CN" w:bidi="ar"/>
              </w:rPr>
              <w:t>理论</w:t>
            </w:r>
            <w:r>
              <w:rPr>
                <w:rFonts w:hint="default" w:ascii="仿宋_GB2312" w:hAnsi="宋体" w:eastAsia="仿宋_GB2312" w:cs="仿宋_GB2312"/>
                <w:kern w:val="0"/>
                <w:sz w:val="22"/>
                <w:szCs w:val="22"/>
                <w:lang w:val="en-US" w:eastAsia="zh-CN" w:bidi="ar"/>
              </w:rPr>
              <w:t>专题研讨，</w:t>
            </w:r>
            <w:r>
              <w:rPr>
                <w:rFonts w:hint="eastAsia" w:ascii="仿宋_GB2312" w:hAnsi="宋体" w:eastAsia="仿宋_GB2312" w:cs="仿宋_GB2312"/>
                <w:kern w:val="0"/>
                <w:sz w:val="22"/>
                <w:szCs w:val="22"/>
                <w:lang w:val="en-US" w:eastAsia="zh-CN" w:bidi="ar"/>
              </w:rPr>
              <w:t>特别是深入强化系统学习、案例分析，</w:t>
            </w:r>
            <w:r>
              <w:rPr>
                <w:rFonts w:hint="default" w:ascii="仿宋_GB2312" w:hAnsi="宋体" w:eastAsia="仿宋_GB2312" w:cs="仿宋_GB2312"/>
                <w:kern w:val="0"/>
                <w:sz w:val="22"/>
                <w:szCs w:val="22"/>
                <w:lang w:val="en-US" w:eastAsia="zh-CN" w:bidi="ar"/>
              </w:rPr>
              <w:t>深化现代职教理念认知</w:t>
            </w:r>
            <w:r>
              <w:rPr>
                <w:rFonts w:hint="eastAsia" w:ascii="仿宋_GB2312" w:hAnsi="宋体" w:eastAsia="仿宋_GB2312" w:cs="仿宋_GB2312"/>
                <w:kern w:val="0"/>
                <w:sz w:val="22"/>
                <w:szCs w:val="22"/>
                <w:lang w:val="en-US" w:eastAsia="zh-CN" w:bidi="ar"/>
              </w:rPr>
              <w:t>。</w:t>
            </w:r>
          </w:p>
          <w:p w14:paraId="6BF247F4">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hAnsi="宋体" w:eastAsia="仿宋_GB2312" w:cs="仿宋_GB2312"/>
                <w:kern w:val="0"/>
                <w:sz w:val="22"/>
                <w:szCs w:val="22"/>
                <w:lang w:val="en-US" w:eastAsia="zh-CN" w:bidi="ar"/>
              </w:rPr>
              <w:t>3.</w:t>
            </w:r>
            <w:r>
              <w:rPr>
                <w:rFonts w:hint="default" w:ascii="仿宋_GB2312" w:hAnsi="宋体" w:eastAsia="仿宋_GB2312" w:cs="仿宋_GB2312"/>
                <w:kern w:val="0"/>
                <w:sz w:val="22"/>
                <w:szCs w:val="22"/>
                <w:lang w:val="en-US" w:eastAsia="zh-CN" w:bidi="ar"/>
              </w:rPr>
              <w:t>增设实地调研环节：将</w:t>
            </w:r>
            <w:r>
              <w:rPr>
                <w:rFonts w:hint="eastAsia" w:ascii="仿宋_GB2312" w:hAnsi="宋体" w:eastAsia="仿宋_GB2312" w:cs="仿宋_GB2312"/>
                <w:kern w:val="0"/>
                <w:sz w:val="22"/>
                <w:szCs w:val="22"/>
                <w:lang w:val="en-US" w:eastAsia="zh-CN" w:bidi="ar"/>
              </w:rPr>
              <w:t>部分</w:t>
            </w:r>
            <w:r>
              <w:rPr>
                <w:rFonts w:hint="default" w:ascii="仿宋_GB2312" w:hAnsi="宋体" w:eastAsia="仿宋_GB2312" w:cs="仿宋_GB2312"/>
                <w:kern w:val="0"/>
                <w:sz w:val="22"/>
                <w:szCs w:val="22"/>
                <w:lang w:val="en-US" w:eastAsia="zh-CN" w:bidi="ar"/>
              </w:rPr>
              <w:t>理论学习时间转化为走访企业、兄弟院校的调研活动，形成“学习—调研—决策”闭环</w:t>
            </w:r>
            <w:r>
              <w:rPr>
                <w:rFonts w:hint="eastAsia" w:ascii="仿宋_GB2312" w:hAnsi="宋体" w:eastAsia="仿宋_GB2312" w:cs="仿宋_GB2312"/>
                <w:kern w:val="0"/>
                <w:sz w:val="22"/>
                <w:szCs w:val="22"/>
                <w:lang w:val="en-US" w:eastAsia="zh-CN" w:bidi="ar"/>
              </w:rPr>
              <w:t>。</w:t>
            </w:r>
          </w:p>
        </w:tc>
        <w:tc>
          <w:tcPr>
            <w:tcW w:w="1350" w:type="dxa"/>
            <w:noWrap w:val="0"/>
            <w:vAlign w:val="center"/>
          </w:tcPr>
          <w:p w14:paraId="50E0CAC5">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柯金国</w:t>
            </w:r>
          </w:p>
          <w:p w14:paraId="103664D1">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许冬红</w:t>
            </w:r>
          </w:p>
          <w:p w14:paraId="5AE36C45">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林新钊</w:t>
            </w:r>
          </w:p>
          <w:p w14:paraId="65F48974">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陈金毓</w:t>
            </w:r>
          </w:p>
          <w:p w14:paraId="102FCCB6">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阮春高</w:t>
            </w:r>
          </w:p>
          <w:p w14:paraId="41227B11">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张凡</w:t>
            </w:r>
          </w:p>
          <w:p w14:paraId="7872E190">
            <w:pPr>
              <w:widowControl/>
              <w:spacing w:line="240" w:lineRule="auto"/>
              <w:ind w:leftChars="0"/>
              <w:jc w:val="center"/>
              <w:textAlignment w:val="center"/>
              <w:rPr>
                <w:rFonts w:hint="eastAsia" w:ascii="仿宋_GB2312" w:hAnsi="宋体" w:eastAsia="仿宋_GB2312" w:cs="仿宋_GB2312"/>
                <w:sz w:val="22"/>
                <w:szCs w:val="22"/>
                <w:lang w:val="en-US" w:eastAsia="zh-CN"/>
              </w:rPr>
            </w:pPr>
            <w:r>
              <w:rPr>
                <w:rFonts w:hint="eastAsia" w:ascii="仿宋_GB2312" w:hAnsi="宋体" w:eastAsia="仿宋_GB2312" w:cs="仿宋_GB2312"/>
                <w:kern w:val="0"/>
                <w:sz w:val="22"/>
                <w:szCs w:val="22"/>
                <w:lang w:val="en-US" w:eastAsia="zh-CN" w:bidi="ar"/>
              </w:rPr>
              <w:t>兰希红</w:t>
            </w:r>
          </w:p>
        </w:tc>
        <w:tc>
          <w:tcPr>
            <w:tcW w:w="1257" w:type="dxa"/>
            <w:noWrap w:val="0"/>
            <w:vAlign w:val="center"/>
          </w:tcPr>
          <w:p w14:paraId="706084E8">
            <w:pPr>
              <w:widowControl/>
              <w:spacing w:line="240" w:lineRule="auto"/>
              <w:ind w:leftChars="0"/>
              <w:jc w:val="center"/>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质量发展处</w:t>
            </w:r>
          </w:p>
        </w:tc>
        <w:tc>
          <w:tcPr>
            <w:tcW w:w="1042" w:type="dxa"/>
            <w:noWrap w:val="0"/>
            <w:vAlign w:val="center"/>
          </w:tcPr>
          <w:p w14:paraId="45DA0A6A">
            <w:pPr>
              <w:pStyle w:val="7"/>
              <w:spacing w:line="240" w:lineRule="auto"/>
              <w:ind w:leftChars="0"/>
              <w:jc w:val="center"/>
              <w:rPr>
                <w:rFonts w:hint="eastAsia"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蔡雪敏</w:t>
            </w:r>
          </w:p>
        </w:tc>
        <w:tc>
          <w:tcPr>
            <w:tcW w:w="1017" w:type="dxa"/>
            <w:noWrap w:val="0"/>
            <w:vAlign w:val="center"/>
          </w:tcPr>
          <w:p w14:paraId="7E37A84D">
            <w:pPr>
              <w:spacing w:line="240" w:lineRule="auto"/>
              <w:ind w:leftChars="0"/>
              <w:jc w:val="center"/>
              <w:rPr>
                <w:rFonts w:hint="eastAsia" w:ascii="仿宋_GB2312" w:hAnsi="宋体" w:eastAsia="仿宋_GB2312" w:cs="仿宋_GB2312"/>
                <w:sz w:val="22"/>
                <w:szCs w:val="22"/>
                <w:lang w:val="en-US" w:eastAsia="zh-CN"/>
              </w:rPr>
            </w:pPr>
            <w:r>
              <w:rPr>
                <w:rFonts w:hint="eastAsia" w:ascii="仿宋_GB2312" w:hAnsi="宋体" w:eastAsia="仿宋_GB2312" w:cs="仿宋_GB2312"/>
                <w:sz w:val="22"/>
                <w:szCs w:val="22"/>
                <w:lang w:val="en-US" w:eastAsia="zh-CN"/>
              </w:rPr>
              <w:t>长久立</w:t>
            </w:r>
          </w:p>
        </w:tc>
      </w:tr>
      <w:tr w14:paraId="7BFF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1" w:hRule="atLeast"/>
        </w:trPr>
        <w:tc>
          <w:tcPr>
            <w:tcW w:w="1088" w:type="dxa"/>
            <w:vMerge w:val="restart"/>
            <w:noWrap w:val="0"/>
            <w:vAlign w:val="center"/>
          </w:tcPr>
          <w:p w14:paraId="5754F8E0">
            <w:pPr>
              <w:spacing w:line="240" w:lineRule="auto"/>
              <w:ind w:leftChars="0"/>
              <w:rPr>
                <w:rFonts w:ascii="仿宋_GB2312" w:hAnsi="宋体" w:eastAsia="仿宋_GB2312" w:cs="仿宋_GB2312"/>
                <w:b/>
                <w:sz w:val="24"/>
              </w:rPr>
            </w:pPr>
          </w:p>
        </w:tc>
        <w:tc>
          <w:tcPr>
            <w:tcW w:w="1069" w:type="dxa"/>
            <w:vMerge w:val="restart"/>
            <w:noWrap w:val="0"/>
            <w:vAlign w:val="center"/>
          </w:tcPr>
          <w:p w14:paraId="4D59F745">
            <w:pPr>
              <w:widowControl/>
              <w:tabs>
                <w:tab w:val="left" w:pos="1123"/>
              </w:tabs>
              <w:spacing w:line="240" w:lineRule="auto"/>
              <w:ind w:leftChars="0"/>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知行合一还不够紧密</w:t>
            </w:r>
          </w:p>
        </w:tc>
        <w:tc>
          <w:tcPr>
            <w:tcW w:w="4122" w:type="dxa"/>
            <w:vMerge w:val="restart"/>
            <w:noWrap w:val="0"/>
            <w:vAlign w:val="center"/>
          </w:tcPr>
          <w:p w14:paraId="5DE2107E">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比如，还未能真正树立起现代职业教育理念，将其融入办学治校全过程的落地措施不多，在推动学院教育教学改革、解决“双高”校创建、提升学院内涵品质等问题上还有差距</w:t>
            </w:r>
          </w:p>
        </w:tc>
        <w:tc>
          <w:tcPr>
            <w:tcW w:w="4371" w:type="dxa"/>
            <w:noWrap w:val="0"/>
            <w:vAlign w:val="center"/>
          </w:tcPr>
          <w:p w14:paraId="1327A2B2">
            <w:pPr>
              <w:pStyle w:val="4"/>
              <w:widowControl w:val="0"/>
              <w:shd w:val="clear" w:color="auto" w:fill="FFFFFF"/>
              <w:tabs>
                <w:tab w:val="left" w:pos="1160"/>
              </w:tabs>
              <w:spacing w:before="0" w:beforeAutospacing="0" w:after="0" w:afterAutospacing="0" w:line="240" w:lineRule="auto"/>
              <w:ind w:leftChars="0"/>
              <w:rPr>
                <w:rFonts w:hint="default" w:ascii="仿宋_GB2312" w:eastAsia="仿宋_GB2312" w:cs="仿宋_GB2312"/>
                <w:sz w:val="22"/>
                <w:szCs w:val="22"/>
                <w:lang w:val="en-US" w:eastAsia="zh-CN" w:bidi="ar"/>
              </w:rPr>
            </w:pPr>
            <w:r>
              <w:rPr>
                <w:rFonts w:hint="eastAsia" w:ascii="仿宋_GB2312" w:eastAsia="仿宋_GB2312" w:cs="仿宋_GB2312"/>
                <w:sz w:val="22"/>
                <w:szCs w:val="22"/>
                <w:lang w:val="en-US" w:eastAsia="zh-CN" w:bidi="ar"/>
              </w:rPr>
              <w:t>1.加强理念学习。把现代职业教育理念融入“第一议题”“中心组”等学习中。</w:t>
            </w:r>
          </w:p>
          <w:p w14:paraId="301DE467">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val="en-US" w:eastAsia="zh-CN" w:bidi="ar"/>
              </w:rPr>
            </w:pPr>
            <w:r>
              <w:rPr>
                <w:rFonts w:hint="eastAsia" w:ascii="仿宋_GB2312" w:eastAsia="仿宋_GB2312" w:cs="仿宋_GB2312"/>
                <w:sz w:val="22"/>
                <w:szCs w:val="22"/>
                <w:lang w:val="en-US" w:eastAsia="zh-CN" w:bidi="ar"/>
              </w:rPr>
              <w:t>2.强化梳理制度。查找与现代职业教育理念不符的条款，进行修订和完善。</w:t>
            </w:r>
          </w:p>
          <w:p w14:paraId="0A8BDCD8">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eastAsia="仿宋_GB2312" w:cs="仿宋_GB2312"/>
                <w:sz w:val="22"/>
                <w:szCs w:val="22"/>
                <w:lang w:val="en-US" w:eastAsia="zh-CN" w:bidi="ar"/>
              </w:rPr>
              <w:t>3.将理念融入“十五五”规划。将现代职业教育理念中关于产教融合、工学结合、育训并举等关键要求融入学院发展规划。</w:t>
            </w:r>
          </w:p>
        </w:tc>
        <w:tc>
          <w:tcPr>
            <w:tcW w:w="1350" w:type="dxa"/>
            <w:vMerge w:val="restart"/>
            <w:noWrap w:val="0"/>
            <w:vAlign w:val="center"/>
          </w:tcPr>
          <w:p w14:paraId="6F942D87">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柯金国</w:t>
            </w:r>
          </w:p>
          <w:p w14:paraId="73DCFCFA">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许冬红</w:t>
            </w:r>
          </w:p>
          <w:p w14:paraId="65EE9F2B">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林新钊</w:t>
            </w:r>
          </w:p>
          <w:p w14:paraId="2FB74265">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陈金毓</w:t>
            </w:r>
          </w:p>
          <w:p w14:paraId="5A2C54E9">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阮春高</w:t>
            </w:r>
          </w:p>
          <w:p w14:paraId="5ADA4E37">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4"/>
                <w:szCs w:val="24"/>
                <w:lang w:val="en-US" w:eastAsia="zh-CN" w:bidi="ar"/>
              </w:rPr>
              <w:t>张凡</w:t>
            </w:r>
          </w:p>
          <w:p w14:paraId="76BDD8C7">
            <w:pPr>
              <w:widowControl/>
              <w:spacing w:line="240" w:lineRule="auto"/>
              <w:ind w:leftChars="0"/>
              <w:jc w:val="center"/>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兰希红</w:t>
            </w:r>
          </w:p>
        </w:tc>
        <w:tc>
          <w:tcPr>
            <w:tcW w:w="1257" w:type="dxa"/>
            <w:noWrap w:val="0"/>
            <w:vAlign w:val="center"/>
          </w:tcPr>
          <w:p w14:paraId="6D4B97D0">
            <w:pPr>
              <w:pStyle w:val="2"/>
              <w:spacing w:after="0" w:afterLines="0" w:line="240" w:lineRule="auto"/>
              <w:ind w:left="0" w:leftChars="0" w:firstLine="0" w:firstLineChars="0"/>
              <w:jc w:val="both"/>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党政办（办学治校）</w:t>
            </w:r>
          </w:p>
        </w:tc>
        <w:tc>
          <w:tcPr>
            <w:tcW w:w="1042" w:type="dxa"/>
            <w:noWrap w:val="0"/>
            <w:vAlign w:val="center"/>
          </w:tcPr>
          <w:p w14:paraId="2D4AC837">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郭丽花</w:t>
            </w:r>
          </w:p>
        </w:tc>
        <w:tc>
          <w:tcPr>
            <w:tcW w:w="1017" w:type="dxa"/>
            <w:noWrap w:val="0"/>
            <w:vAlign w:val="center"/>
          </w:tcPr>
          <w:p w14:paraId="6680FD2D">
            <w:pPr>
              <w:spacing w:line="240" w:lineRule="auto"/>
              <w:ind w:left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2025.12.31</w:t>
            </w:r>
          </w:p>
        </w:tc>
      </w:tr>
      <w:tr w14:paraId="0666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7" w:hRule="atLeast"/>
        </w:trPr>
        <w:tc>
          <w:tcPr>
            <w:tcW w:w="1088" w:type="dxa"/>
            <w:vMerge w:val="continue"/>
            <w:noWrap w:val="0"/>
            <w:vAlign w:val="center"/>
          </w:tcPr>
          <w:p w14:paraId="587B5BF7">
            <w:pPr>
              <w:spacing w:line="240" w:lineRule="auto"/>
              <w:ind w:leftChars="0"/>
              <w:rPr>
                <w:rFonts w:ascii="仿宋_GB2312" w:hAnsi="宋体" w:eastAsia="仿宋_GB2312" w:cs="仿宋_GB2312"/>
                <w:b/>
                <w:sz w:val="24"/>
              </w:rPr>
            </w:pPr>
          </w:p>
        </w:tc>
        <w:tc>
          <w:tcPr>
            <w:tcW w:w="1069" w:type="dxa"/>
            <w:vMerge w:val="continue"/>
            <w:noWrap w:val="0"/>
            <w:vAlign w:val="center"/>
          </w:tcPr>
          <w:p w14:paraId="333B1901">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4122" w:type="dxa"/>
            <w:vMerge w:val="continue"/>
            <w:noWrap w:val="0"/>
            <w:vAlign w:val="center"/>
          </w:tcPr>
          <w:p w14:paraId="47518C96">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4371" w:type="dxa"/>
            <w:noWrap w:val="0"/>
            <w:vAlign w:val="center"/>
          </w:tcPr>
          <w:p w14:paraId="28A519B7">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eastAsia="仿宋_GB2312" w:cs="仿宋_GB2312"/>
                <w:sz w:val="22"/>
                <w:szCs w:val="22"/>
                <w:lang w:val="en-US" w:eastAsia="zh-CN" w:bidi="ar"/>
              </w:rPr>
              <w:t>严格执行</w:t>
            </w:r>
            <w:r>
              <w:rPr>
                <w:rFonts w:hint="eastAsia" w:ascii="仿宋_GB2312" w:eastAsia="仿宋_GB2312" w:cs="仿宋_GB2312"/>
                <w:sz w:val="22"/>
                <w:szCs w:val="22"/>
                <w:lang w:eastAsia="zh-CN" w:bidi="ar"/>
              </w:rPr>
              <w:t>《湄洲湾职业技术学院专业设置及动态调整管理办法（修订）》、《湄洲湾职业技术学院专业调研规范》，</w:t>
            </w:r>
            <w:r>
              <w:rPr>
                <w:rFonts w:hint="eastAsia" w:ascii="仿宋_GB2312" w:eastAsia="仿宋_GB2312" w:cs="仿宋_GB2312"/>
                <w:sz w:val="22"/>
                <w:szCs w:val="22"/>
                <w:lang w:val="en-US" w:eastAsia="zh-CN" w:bidi="ar"/>
              </w:rPr>
              <w:t>顶层设计，对接莆田10条产业链，淘汰低效专业、增设新兴交叉专业，优化专业布局；执行《湄洲湾职业技术学院课程建设管理办法》《湄洲湾职业技术学院职业教育专业教学资源库建设与管理办法》《湄洲湾职业技术学院课程标准原则性意见》落实专业标准、课程标准体系，细化专业建设、课程建设、课堂教学等环节的指标设置。</w:t>
            </w:r>
          </w:p>
        </w:tc>
        <w:tc>
          <w:tcPr>
            <w:tcW w:w="1350" w:type="dxa"/>
            <w:vMerge w:val="continue"/>
            <w:noWrap w:val="0"/>
            <w:vAlign w:val="center"/>
          </w:tcPr>
          <w:p w14:paraId="00576FA7">
            <w:pPr>
              <w:widowControl/>
              <w:spacing w:line="240" w:lineRule="auto"/>
              <w:ind w:leftChars="0"/>
              <w:jc w:val="both"/>
              <w:textAlignment w:val="center"/>
              <w:rPr>
                <w:rFonts w:hint="eastAsia" w:ascii="仿宋_GB2312" w:hAnsi="宋体" w:eastAsia="仿宋_GB2312" w:cs="仿宋_GB2312"/>
                <w:kern w:val="0"/>
                <w:sz w:val="22"/>
                <w:szCs w:val="22"/>
                <w:lang w:val="en-US" w:eastAsia="zh-CN" w:bidi="ar"/>
              </w:rPr>
            </w:pPr>
          </w:p>
        </w:tc>
        <w:tc>
          <w:tcPr>
            <w:tcW w:w="1257" w:type="dxa"/>
            <w:noWrap w:val="0"/>
            <w:vAlign w:val="center"/>
          </w:tcPr>
          <w:p w14:paraId="1682C0C8">
            <w:pPr>
              <w:pStyle w:val="2"/>
              <w:spacing w:after="0" w:afterLines="0" w:line="240" w:lineRule="auto"/>
              <w:ind w:left="0" w:leftChars="0" w:firstLine="0" w:firstLineChars="0"/>
              <w:jc w:val="both"/>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教务处（教育教学改革）</w:t>
            </w:r>
          </w:p>
        </w:tc>
        <w:tc>
          <w:tcPr>
            <w:tcW w:w="1042" w:type="dxa"/>
            <w:noWrap w:val="0"/>
            <w:vAlign w:val="center"/>
          </w:tcPr>
          <w:p w14:paraId="738A123E">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陈志君</w:t>
            </w:r>
          </w:p>
        </w:tc>
        <w:tc>
          <w:tcPr>
            <w:tcW w:w="1017" w:type="dxa"/>
            <w:noWrap w:val="0"/>
            <w:vAlign w:val="center"/>
          </w:tcPr>
          <w:p w14:paraId="0C9A0441">
            <w:pPr>
              <w:spacing w:line="240" w:lineRule="auto"/>
              <w:ind w:left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长久立</w:t>
            </w:r>
          </w:p>
        </w:tc>
      </w:tr>
      <w:tr w14:paraId="3533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7" w:hRule="atLeast"/>
        </w:trPr>
        <w:tc>
          <w:tcPr>
            <w:tcW w:w="1088" w:type="dxa"/>
            <w:vMerge w:val="continue"/>
            <w:noWrap w:val="0"/>
            <w:vAlign w:val="center"/>
          </w:tcPr>
          <w:p w14:paraId="15FA6B84">
            <w:pPr>
              <w:spacing w:line="240" w:lineRule="auto"/>
              <w:ind w:leftChars="0"/>
              <w:rPr>
                <w:rFonts w:ascii="仿宋_GB2312" w:hAnsi="宋体" w:eastAsia="仿宋_GB2312" w:cs="仿宋_GB2312"/>
                <w:b/>
                <w:sz w:val="24"/>
              </w:rPr>
            </w:pPr>
          </w:p>
        </w:tc>
        <w:tc>
          <w:tcPr>
            <w:tcW w:w="1069" w:type="dxa"/>
            <w:vMerge w:val="continue"/>
            <w:noWrap w:val="0"/>
            <w:vAlign w:val="center"/>
          </w:tcPr>
          <w:p w14:paraId="42127D46">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4122" w:type="dxa"/>
            <w:vMerge w:val="continue"/>
            <w:noWrap w:val="0"/>
            <w:vAlign w:val="center"/>
          </w:tcPr>
          <w:p w14:paraId="07C78772">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4371" w:type="dxa"/>
            <w:noWrap w:val="0"/>
            <w:vAlign w:val="center"/>
          </w:tcPr>
          <w:p w14:paraId="18A8AFA2">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val="en-US" w:eastAsia="zh-CN" w:bidi="ar"/>
              </w:rPr>
            </w:pPr>
            <w:r>
              <w:rPr>
                <w:rFonts w:hint="eastAsia" w:ascii="仿宋_GB2312" w:eastAsia="仿宋_GB2312" w:cs="仿宋_GB2312"/>
                <w:sz w:val="22"/>
                <w:szCs w:val="22"/>
                <w:lang w:val="en-US" w:eastAsia="zh-CN" w:bidi="ar"/>
              </w:rPr>
              <w:t>1.梳理第二轮省“双高”创建要求，组织各部门、专业群建设单位做好申报材料。</w:t>
            </w:r>
          </w:p>
          <w:p w14:paraId="09AD7F7C">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val="en-US" w:eastAsia="zh-CN" w:bidi="ar"/>
              </w:rPr>
            </w:pPr>
            <w:r>
              <w:rPr>
                <w:rFonts w:hint="eastAsia" w:ascii="仿宋_GB2312" w:eastAsia="仿宋_GB2312" w:cs="仿宋_GB2312"/>
                <w:sz w:val="22"/>
                <w:szCs w:val="22"/>
                <w:lang w:val="en-US" w:eastAsia="zh-CN" w:bidi="ar"/>
              </w:rPr>
              <w:t>2、第一轮专业群验收准备：成立宝玉石鉴定与加工专业群验收小组，对照标准梳理建设成果，收集各类材料制作验收报告与支撑材料。</w:t>
            </w:r>
          </w:p>
          <w:p w14:paraId="5A1694B0">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eastAsia="仿宋_GB2312" w:cs="仿宋_GB2312"/>
                <w:sz w:val="22"/>
                <w:szCs w:val="22"/>
                <w:lang w:val="en-US" w:eastAsia="zh-CN" w:bidi="ar"/>
              </w:rPr>
              <w:t>3. 省“双高”计划攻坚：重点打造鞋类设计与工艺等2-3个专业群，争取专业群入选省级高水平专业群，学院立项省双高校。</w:t>
            </w:r>
          </w:p>
        </w:tc>
        <w:tc>
          <w:tcPr>
            <w:tcW w:w="1350" w:type="dxa"/>
            <w:vMerge w:val="continue"/>
            <w:noWrap w:val="0"/>
            <w:vAlign w:val="center"/>
          </w:tcPr>
          <w:p w14:paraId="4D918021">
            <w:pPr>
              <w:widowControl/>
              <w:spacing w:line="240" w:lineRule="auto"/>
              <w:ind w:leftChars="0"/>
              <w:jc w:val="both"/>
              <w:textAlignment w:val="center"/>
              <w:rPr>
                <w:rFonts w:hint="eastAsia" w:ascii="仿宋_GB2312" w:hAnsi="宋体" w:eastAsia="仿宋_GB2312" w:cs="仿宋_GB2312"/>
                <w:kern w:val="0"/>
                <w:sz w:val="22"/>
                <w:szCs w:val="22"/>
                <w:lang w:val="en-US" w:eastAsia="zh-CN" w:bidi="ar"/>
              </w:rPr>
            </w:pPr>
          </w:p>
        </w:tc>
        <w:tc>
          <w:tcPr>
            <w:tcW w:w="1257" w:type="dxa"/>
            <w:noWrap w:val="0"/>
            <w:vAlign w:val="center"/>
          </w:tcPr>
          <w:p w14:paraId="762BF6F4">
            <w:pPr>
              <w:pStyle w:val="2"/>
              <w:spacing w:after="0" w:afterLines="0" w:line="240" w:lineRule="auto"/>
              <w:ind w:left="0" w:leftChars="0" w:firstLine="0" w:firstLineChars="0"/>
              <w:jc w:val="both"/>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质量发展处（“双高校”创建）</w:t>
            </w:r>
          </w:p>
        </w:tc>
        <w:tc>
          <w:tcPr>
            <w:tcW w:w="1042" w:type="dxa"/>
            <w:noWrap w:val="0"/>
            <w:vAlign w:val="center"/>
          </w:tcPr>
          <w:p w14:paraId="5E595B84">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蔡雪敏</w:t>
            </w:r>
          </w:p>
        </w:tc>
        <w:tc>
          <w:tcPr>
            <w:tcW w:w="1017" w:type="dxa"/>
            <w:noWrap w:val="0"/>
            <w:vAlign w:val="center"/>
          </w:tcPr>
          <w:p w14:paraId="1435AE22">
            <w:pPr>
              <w:spacing w:line="240" w:lineRule="auto"/>
              <w:ind w:left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2025.10</w:t>
            </w:r>
          </w:p>
        </w:tc>
      </w:tr>
      <w:tr w14:paraId="0170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1" w:hRule="atLeast"/>
        </w:trPr>
        <w:tc>
          <w:tcPr>
            <w:tcW w:w="1088" w:type="dxa"/>
            <w:vMerge w:val="continue"/>
            <w:noWrap w:val="0"/>
            <w:vAlign w:val="center"/>
          </w:tcPr>
          <w:p w14:paraId="64325348">
            <w:pPr>
              <w:spacing w:line="240" w:lineRule="auto"/>
              <w:ind w:leftChars="0"/>
              <w:rPr>
                <w:rFonts w:ascii="仿宋_GB2312" w:hAnsi="宋体" w:eastAsia="仿宋_GB2312" w:cs="仿宋_GB2312"/>
                <w:b/>
                <w:sz w:val="24"/>
              </w:rPr>
            </w:pPr>
          </w:p>
        </w:tc>
        <w:tc>
          <w:tcPr>
            <w:tcW w:w="1069" w:type="dxa"/>
            <w:vMerge w:val="continue"/>
            <w:noWrap w:val="0"/>
            <w:vAlign w:val="center"/>
          </w:tcPr>
          <w:p w14:paraId="6B38A3DB">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4122" w:type="dxa"/>
            <w:noWrap w:val="0"/>
            <w:vAlign w:val="center"/>
          </w:tcPr>
          <w:p w14:paraId="08E58512">
            <w:pPr>
              <w:widowControl/>
              <w:tabs>
                <w:tab w:val="left" w:pos="1123"/>
              </w:tabs>
              <w:spacing w:line="240" w:lineRule="auto"/>
              <w:ind w:leftChars="0"/>
              <w:textAlignment w:val="center"/>
              <w:rPr>
                <w:rStyle w:val="8"/>
                <w:rFonts w:hint="eastAsia" w:ascii="仿宋_GB2312" w:hAnsi="仿宋" w:eastAsia="仿宋_GB2312" w:cs="宋体"/>
                <w:kern w:val="2"/>
                <w:sz w:val="32"/>
                <w:szCs w:val="32"/>
                <w:lang w:val="en-US" w:eastAsia="zh-CN" w:bidi="ar"/>
              </w:rPr>
            </w:pPr>
            <w:r>
              <w:rPr>
                <w:rFonts w:hint="eastAsia" w:ascii="仿宋_GB2312" w:hAnsi="宋体" w:eastAsia="仿宋_GB2312" w:cs="仿宋_GB2312"/>
                <w:kern w:val="0"/>
                <w:sz w:val="22"/>
                <w:szCs w:val="22"/>
                <w:lang w:val="en-US" w:eastAsia="zh-CN" w:bidi="ar"/>
              </w:rPr>
              <w:t>比如，对如何结合本单位实际，推动高质量发展深入思考和系统谋划还不足</w:t>
            </w:r>
          </w:p>
        </w:tc>
        <w:tc>
          <w:tcPr>
            <w:tcW w:w="4371" w:type="dxa"/>
            <w:noWrap w:val="0"/>
            <w:vAlign w:val="center"/>
          </w:tcPr>
          <w:p w14:paraId="655B555A">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val="en-US" w:eastAsia="zh-CN" w:bidi="ar"/>
              </w:rPr>
            </w:pPr>
            <w:r>
              <w:rPr>
                <w:rFonts w:hint="eastAsia" w:ascii="仿宋_GB2312" w:eastAsia="仿宋_GB2312" w:cs="仿宋_GB2312"/>
                <w:sz w:val="22"/>
                <w:szCs w:val="22"/>
                <w:lang w:val="en-US" w:eastAsia="zh-CN" w:bidi="ar"/>
              </w:rPr>
              <w:t>1.加强学习。开展高质量发展相关理论、政策的学习会，邀请专家学者、行业领军人物来进行讲座等。</w:t>
            </w:r>
          </w:p>
          <w:p w14:paraId="1B3656B1">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val="en-US" w:eastAsia="zh-CN" w:bidi="ar"/>
              </w:rPr>
            </w:pPr>
            <w:r>
              <w:rPr>
                <w:rFonts w:hint="eastAsia" w:ascii="仿宋_GB2312" w:eastAsia="仿宋_GB2312" w:cs="仿宋_GB2312"/>
                <w:sz w:val="22"/>
                <w:szCs w:val="22"/>
                <w:lang w:val="en-US" w:eastAsia="zh-CN" w:bidi="ar"/>
              </w:rPr>
              <w:t>2.开展调研。深入各部门、各工作环节开展调研，鼓励教职工为学院高质量发展建言献策等。</w:t>
            </w:r>
          </w:p>
          <w:p w14:paraId="47E1EF21">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eastAsia="仿宋_GB2312" w:cs="仿宋_GB2312"/>
                <w:sz w:val="22"/>
                <w:szCs w:val="22"/>
                <w:lang w:val="en-US" w:eastAsia="zh-CN" w:bidi="ar"/>
              </w:rPr>
              <w:t>3.系统谋划学院“十五五”发展规划。</w:t>
            </w:r>
          </w:p>
        </w:tc>
        <w:tc>
          <w:tcPr>
            <w:tcW w:w="1350" w:type="dxa"/>
            <w:noWrap w:val="0"/>
            <w:vAlign w:val="center"/>
          </w:tcPr>
          <w:p w14:paraId="60EF3A13">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柯金国</w:t>
            </w:r>
          </w:p>
          <w:p w14:paraId="75370EC7">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许冬红</w:t>
            </w:r>
          </w:p>
          <w:p w14:paraId="13F433D0">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林新钊</w:t>
            </w:r>
          </w:p>
          <w:p w14:paraId="37EBDEB7">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陈金毓</w:t>
            </w:r>
          </w:p>
          <w:p w14:paraId="2198724D">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阮春高</w:t>
            </w:r>
          </w:p>
          <w:p w14:paraId="6B55B0A3">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4"/>
                <w:szCs w:val="24"/>
                <w:lang w:val="en-US" w:eastAsia="zh-CN" w:bidi="ar"/>
              </w:rPr>
              <w:t>张凡</w:t>
            </w:r>
          </w:p>
          <w:p w14:paraId="16BE14EC">
            <w:pPr>
              <w:widowControl/>
              <w:spacing w:line="240" w:lineRule="auto"/>
              <w:jc w:val="center"/>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兰希红</w:t>
            </w:r>
          </w:p>
        </w:tc>
        <w:tc>
          <w:tcPr>
            <w:tcW w:w="1257" w:type="dxa"/>
            <w:noWrap w:val="0"/>
            <w:vAlign w:val="center"/>
          </w:tcPr>
          <w:p w14:paraId="47A2E5DD">
            <w:pPr>
              <w:widowControl/>
              <w:spacing w:line="240" w:lineRule="auto"/>
              <w:ind w:leftChars="0"/>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党政办</w:t>
            </w:r>
          </w:p>
        </w:tc>
        <w:tc>
          <w:tcPr>
            <w:tcW w:w="1042" w:type="dxa"/>
            <w:noWrap w:val="0"/>
            <w:vAlign w:val="center"/>
          </w:tcPr>
          <w:p w14:paraId="2D77FF3B">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郭丽花</w:t>
            </w:r>
          </w:p>
        </w:tc>
        <w:tc>
          <w:tcPr>
            <w:tcW w:w="1017" w:type="dxa"/>
            <w:noWrap w:val="0"/>
            <w:vAlign w:val="center"/>
          </w:tcPr>
          <w:p w14:paraId="48D05D17">
            <w:pPr>
              <w:spacing w:line="240" w:lineRule="auto"/>
              <w:ind w:left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2025.12.31</w:t>
            </w:r>
          </w:p>
        </w:tc>
      </w:tr>
      <w:tr w14:paraId="7964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5" w:hRule="atLeast"/>
        </w:trPr>
        <w:tc>
          <w:tcPr>
            <w:tcW w:w="1088" w:type="dxa"/>
            <w:vMerge w:val="restart"/>
            <w:noWrap w:val="0"/>
            <w:vAlign w:val="center"/>
          </w:tcPr>
          <w:p w14:paraId="38A6DBB2">
            <w:pPr>
              <w:widowControl/>
              <w:spacing w:line="240" w:lineRule="auto"/>
              <w:ind w:leftChars="0"/>
              <w:textAlignment w:val="center"/>
              <w:rPr>
                <w:rFonts w:hint="default" w:ascii="仿宋_GB2312" w:hAnsi="宋体" w:eastAsia="仿宋_GB2312" w:cs="仿宋_GB2312"/>
                <w:b/>
                <w:sz w:val="24"/>
                <w:lang w:val="en-US" w:eastAsia="zh-CN"/>
              </w:rPr>
            </w:pPr>
            <w:r>
              <w:rPr>
                <w:rFonts w:hint="eastAsia" w:ascii="仿宋_GB2312" w:hAnsi="仿宋_GB2312" w:eastAsia="仿宋_GB2312" w:cs="仿宋_GB2312"/>
                <w:sz w:val="24"/>
                <w:lang w:val="en-US" w:eastAsia="zh-CN"/>
              </w:rPr>
              <w:t>2.带头增强党性、严守纪律、砥砺作风方面</w:t>
            </w:r>
          </w:p>
        </w:tc>
        <w:tc>
          <w:tcPr>
            <w:tcW w:w="1069" w:type="dxa"/>
            <w:vMerge w:val="restart"/>
            <w:noWrap w:val="0"/>
            <w:vAlign w:val="center"/>
          </w:tcPr>
          <w:p w14:paraId="5B46856D">
            <w:pPr>
              <w:widowControl/>
              <w:tabs>
                <w:tab w:val="left" w:pos="1123"/>
              </w:tabs>
              <w:spacing w:line="240" w:lineRule="auto"/>
              <w:ind w:leftChars="0"/>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党性锤炼还不够务实</w:t>
            </w:r>
          </w:p>
        </w:tc>
        <w:tc>
          <w:tcPr>
            <w:tcW w:w="4122" w:type="dxa"/>
            <w:noWrap w:val="0"/>
            <w:vAlign w:val="center"/>
          </w:tcPr>
          <w:p w14:paraId="63A2EE32">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党性锻炼缺乏应有的主动性，没有真正将党性修养内化为思想自觉和行动自觉，比如，参加主题党日等党性教育活动时积极性不够，活动开展缺乏创新性等。</w:t>
            </w:r>
          </w:p>
        </w:tc>
        <w:tc>
          <w:tcPr>
            <w:tcW w:w="4371" w:type="dxa"/>
            <w:noWrap w:val="0"/>
            <w:vAlign w:val="center"/>
          </w:tcPr>
          <w:p w14:paraId="62754BD2">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val="en-US" w:eastAsia="zh-CN" w:bidi="ar"/>
              </w:rPr>
            </w:pPr>
            <w:r>
              <w:rPr>
                <w:rFonts w:hint="eastAsia" w:ascii="仿宋_GB2312" w:eastAsia="仿宋_GB2312" w:cs="仿宋_GB2312"/>
                <w:sz w:val="22"/>
                <w:szCs w:val="22"/>
                <w:lang w:val="en-US" w:eastAsia="zh-CN" w:bidi="ar"/>
              </w:rPr>
              <w:t>1.强化主题党日的纪律要求，严格落实考勤和纪实制度，真正做到“全年开展主题党日活动不少于12次，每次时间不少于半天，平均参与率应不低于80%”要求。</w:t>
            </w:r>
          </w:p>
          <w:p w14:paraId="2FA35487">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eastAsia="仿宋_GB2312" w:cs="仿宋_GB2312"/>
                <w:sz w:val="22"/>
                <w:szCs w:val="22"/>
                <w:lang w:val="en-US" w:eastAsia="zh-CN" w:bidi="ar"/>
              </w:rPr>
              <w:t>2.不断创新主题党日活动形式，围绕政治理论学习、与业务工作融合、联系服务师生、加强党性锻炼等方面内容，从提升思想素质、增强专业水平、提高服务能力、强化党性修养四方面不断强化党员领导干部将党性修养内化为思想自觉和行动自觉。</w:t>
            </w:r>
          </w:p>
        </w:tc>
        <w:tc>
          <w:tcPr>
            <w:tcW w:w="1350" w:type="dxa"/>
            <w:shd w:val="clear" w:color="auto" w:fill="auto"/>
            <w:noWrap w:val="0"/>
            <w:vAlign w:val="center"/>
          </w:tcPr>
          <w:p w14:paraId="1F1B6740">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柯金国</w:t>
            </w:r>
          </w:p>
          <w:p w14:paraId="188A7F67">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许冬红</w:t>
            </w:r>
          </w:p>
          <w:p w14:paraId="6EED0AB0">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林新钊</w:t>
            </w:r>
          </w:p>
          <w:p w14:paraId="2C7CD6A5">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陈金毓</w:t>
            </w:r>
          </w:p>
          <w:p w14:paraId="6F296E45">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阮春高</w:t>
            </w:r>
          </w:p>
          <w:p w14:paraId="2CAAD1E6">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4"/>
                <w:szCs w:val="24"/>
                <w:lang w:val="en-US" w:eastAsia="zh-CN" w:bidi="ar"/>
              </w:rPr>
              <w:t>张凡</w:t>
            </w:r>
          </w:p>
          <w:p w14:paraId="21389B11">
            <w:pPr>
              <w:widowControl/>
              <w:spacing w:line="240" w:lineRule="auto"/>
              <w:jc w:val="center"/>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兰希红</w:t>
            </w:r>
          </w:p>
        </w:tc>
        <w:tc>
          <w:tcPr>
            <w:tcW w:w="1257" w:type="dxa"/>
            <w:noWrap w:val="0"/>
            <w:vAlign w:val="center"/>
          </w:tcPr>
          <w:p w14:paraId="1DDF87E5">
            <w:pPr>
              <w:widowControl/>
              <w:spacing w:line="240" w:lineRule="auto"/>
              <w:ind w:leftChars="0"/>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组织部</w:t>
            </w:r>
          </w:p>
        </w:tc>
        <w:tc>
          <w:tcPr>
            <w:tcW w:w="1042" w:type="dxa"/>
            <w:noWrap w:val="0"/>
            <w:vAlign w:val="center"/>
          </w:tcPr>
          <w:p w14:paraId="2D83A3C6">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陈志雄</w:t>
            </w:r>
          </w:p>
        </w:tc>
        <w:tc>
          <w:tcPr>
            <w:tcW w:w="1017" w:type="dxa"/>
            <w:noWrap w:val="0"/>
            <w:vAlign w:val="center"/>
          </w:tcPr>
          <w:p w14:paraId="31DB49DD">
            <w:pPr>
              <w:spacing w:line="240" w:lineRule="auto"/>
              <w:ind w:left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2025.12.31</w:t>
            </w:r>
          </w:p>
        </w:tc>
      </w:tr>
      <w:tr w14:paraId="4AD5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03" w:hRule="atLeast"/>
        </w:trPr>
        <w:tc>
          <w:tcPr>
            <w:tcW w:w="1088" w:type="dxa"/>
            <w:vMerge w:val="continue"/>
            <w:noWrap w:val="0"/>
            <w:vAlign w:val="center"/>
          </w:tcPr>
          <w:p w14:paraId="688F391E">
            <w:pPr>
              <w:widowControl/>
              <w:spacing w:line="240" w:lineRule="auto"/>
              <w:ind w:leftChars="0"/>
              <w:textAlignment w:val="center"/>
              <w:rPr>
                <w:rFonts w:hint="eastAsia" w:ascii="仿宋_GB2312" w:hAnsi="仿宋_GB2312" w:eastAsia="仿宋_GB2312" w:cs="仿宋_GB2312"/>
                <w:sz w:val="24"/>
                <w:lang w:val="en-US" w:eastAsia="zh-CN"/>
              </w:rPr>
            </w:pPr>
          </w:p>
        </w:tc>
        <w:tc>
          <w:tcPr>
            <w:tcW w:w="1069" w:type="dxa"/>
            <w:vMerge w:val="continue"/>
            <w:noWrap w:val="0"/>
            <w:vAlign w:val="center"/>
          </w:tcPr>
          <w:p w14:paraId="1C604351">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4122" w:type="dxa"/>
            <w:noWrap w:val="0"/>
            <w:vAlign w:val="center"/>
          </w:tcPr>
          <w:p w14:paraId="3CC239E8">
            <w:pPr>
              <w:widowControl/>
              <w:tabs>
                <w:tab w:val="left" w:pos="1123"/>
              </w:tabs>
              <w:spacing w:line="240" w:lineRule="auto"/>
              <w:ind w:leftChars="0"/>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“重业务、轻党建”倾向仍然存在，没有时刻树牢“抓好党建促发展，围绕发展抓党建”思想，导致基层党组织战斗堡垒作用不能充分发挥。</w:t>
            </w:r>
          </w:p>
          <w:p w14:paraId="4F798CDF">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4371" w:type="dxa"/>
            <w:noWrap w:val="0"/>
            <w:vAlign w:val="center"/>
          </w:tcPr>
          <w:p w14:paraId="7D9AD8AD">
            <w:pPr>
              <w:pStyle w:val="4"/>
              <w:widowControl w:val="0"/>
              <w:shd w:val="clear" w:color="auto" w:fill="FFFFFF"/>
              <w:tabs>
                <w:tab w:val="left" w:pos="1160"/>
              </w:tabs>
              <w:spacing w:before="0" w:beforeAutospacing="0" w:after="0" w:afterAutospacing="0" w:line="240" w:lineRule="auto"/>
              <w:ind w:leftChars="0"/>
              <w:rPr>
                <w:rFonts w:hint="default" w:ascii="仿宋_GB2312" w:eastAsia="仿宋_GB2312" w:cs="仿宋_GB2312"/>
                <w:sz w:val="22"/>
                <w:szCs w:val="22"/>
                <w:lang w:val="en-US" w:eastAsia="zh-CN" w:bidi="ar"/>
              </w:rPr>
            </w:pPr>
            <w:r>
              <w:rPr>
                <w:rFonts w:hint="eastAsia" w:ascii="仿宋_GB2312" w:eastAsia="仿宋_GB2312" w:cs="仿宋_GB2312"/>
                <w:sz w:val="22"/>
                <w:szCs w:val="22"/>
                <w:lang w:val="en-US" w:eastAsia="zh-CN" w:bidi="ar"/>
              </w:rPr>
              <w:t>1.通过会议、学习、考核等，认真贯彻中央关于全面从严治党的决策部署，坚持把抓好党建作为第一责任和最大政绩，严格落实管党治党主体责任，扎实推进作风建设，着力强化基层党组织的政治和服务功能，深入开展党风廉政建设和反腐败斗争，不断扭转</w:t>
            </w:r>
            <w:r>
              <w:rPr>
                <w:rFonts w:hint="eastAsia" w:ascii="仿宋_GB2312" w:hAnsi="宋体" w:eastAsia="仿宋_GB2312" w:cs="仿宋_GB2312"/>
                <w:kern w:val="0"/>
                <w:sz w:val="22"/>
                <w:szCs w:val="22"/>
                <w:lang w:val="en-US" w:eastAsia="zh-CN" w:bidi="ar"/>
              </w:rPr>
              <w:t>“重业务、轻党建”倾向</w:t>
            </w:r>
            <w:r>
              <w:rPr>
                <w:rFonts w:hint="eastAsia" w:ascii="仿宋_GB2312" w:eastAsia="仿宋_GB2312" w:cs="仿宋_GB2312"/>
                <w:kern w:val="0"/>
                <w:sz w:val="22"/>
                <w:szCs w:val="22"/>
                <w:lang w:val="en-US" w:eastAsia="zh-CN" w:bidi="ar"/>
              </w:rPr>
              <w:t>。</w:t>
            </w:r>
          </w:p>
          <w:p w14:paraId="322A14F9">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eastAsia="仿宋_GB2312" w:cs="仿宋_GB2312"/>
                <w:sz w:val="22"/>
                <w:szCs w:val="22"/>
                <w:lang w:val="en-US" w:eastAsia="zh-CN" w:bidi="ar"/>
              </w:rPr>
              <w:t>2.以做好党的建设“十四五”发展规划收官总结和“十五五”编制为重点，以学院领导和机关职能部门联系师生党支部制度为抓手，强化“一岗双责”，密切与师生关系，问需、问计于师生，搞好服务，</w:t>
            </w:r>
            <w:r>
              <w:rPr>
                <w:rFonts w:hint="eastAsia" w:ascii="仿宋_GB2312" w:hAnsi="宋体" w:eastAsia="仿宋_GB2312" w:cs="仿宋_GB2312"/>
                <w:kern w:val="0"/>
                <w:sz w:val="22"/>
                <w:szCs w:val="22"/>
                <w:lang w:val="en-US" w:eastAsia="zh-CN" w:bidi="ar"/>
              </w:rPr>
              <w:t>树牢“抓好党建促发展，围绕发展抓党建”思想，</w:t>
            </w:r>
            <w:r>
              <w:rPr>
                <w:rFonts w:hint="eastAsia" w:ascii="仿宋_GB2312" w:eastAsia="仿宋_GB2312" w:cs="仿宋_GB2312"/>
                <w:kern w:val="0"/>
                <w:sz w:val="22"/>
                <w:szCs w:val="22"/>
                <w:lang w:val="en-US" w:eastAsia="zh-CN" w:bidi="ar"/>
              </w:rPr>
              <w:t>增强</w:t>
            </w:r>
            <w:r>
              <w:rPr>
                <w:rFonts w:hint="eastAsia" w:ascii="仿宋_GB2312" w:hAnsi="宋体" w:eastAsia="仿宋_GB2312" w:cs="仿宋_GB2312"/>
                <w:kern w:val="0"/>
                <w:sz w:val="22"/>
                <w:szCs w:val="22"/>
                <w:lang w:val="en-US" w:eastAsia="zh-CN" w:bidi="ar"/>
              </w:rPr>
              <w:t>基层党组织战斗堡垒作用</w:t>
            </w:r>
            <w:r>
              <w:rPr>
                <w:rFonts w:hint="eastAsia" w:ascii="仿宋_GB2312" w:eastAsia="仿宋_GB2312" w:cs="仿宋_GB2312"/>
                <w:kern w:val="0"/>
                <w:sz w:val="22"/>
                <w:szCs w:val="22"/>
                <w:lang w:val="en-US" w:eastAsia="zh-CN" w:bidi="ar"/>
              </w:rPr>
              <w:t>。</w:t>
            </w:r>
          </w:p>
        </w:tc>
        <w:tc>
          <w:tcPr>
            <w:tcW w:w="1350" w:type="dxa"/>
            <w:shd w:val="clear" w:color="auto" w:fill="auto"/>
            <w:noWrap w:val="0"/>
            <w:vAlign w:val="center"/>
          </w:tcPr>
          <w:p w14:paraId="1E238CEF">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柯金国</w:t>
            </w:r>
          </w:p>
          <w:p w14:paraId="42A6C396">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许冬红</w:t>
            </w:r>
          </w:p>
          <w:p w14:paraId="709AC683">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林新钊</w:t>
            </w:r>
          </w:p>
          <w:p w14:paraId="64F9B7F4">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陈金毓</w:t>
            </w:r>
          </w:p>
          <w:p w14:paraId="7EDCD761">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阮春高</w:t>
            </w:r>
          </w:p>
          <w:p w14:paraId="1E2DF65E">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4"/>
                <w:szCs w:val="24"/>
                <w:lang w:val="en-US" w:eastAsia="zh-CN" w:bidi="ar"/>
              </w:rPr>
              <w:t>张凡</w:t>
            </w:r>
          </w:p>
          <w:p w14:paraId="1101EECE">
            <w:pPr>
              <w:widowControl/>
              <w:spacing w:line="240" w:lineRule="auto"/>
              <w:jc w:val="center"/>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兰希红</w:t>
            </w:r>
          </w:p>
        </w:tc>
        <w:tc>
          <w:tcPr>
            <w:tcW w:w="1257" w:type="dxa"/>
            <w:noWrap w:val="0"/>
            <w:vAlign w:val="center"/>
          </w:tcPr>
          <w:p w14:paraId="20F043EA">
            <w:pPr>
              <w:widowControl/>
              <w:spacing w:line="240" w:lineRule="auto"/>
              <w:ind w:leftChars="0"/>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组织部</w:t>
            </w:r>
          </w:p>
        </w:tc>
        <w:tc>
          <w:tcPr>
            <w:tcW w:w="1042" w:type="dxa"/>
            <w:noWrap w:val="0"/>
            <w:vAlign w:val="center"/>
          </w:tcPr>
          <w:p w14:paraId="10F4B03E">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陈志雄</w:t>
            </w:r>
          </w:p>
        </w:tc>
        <w:tc>
          <w:tcPr>
            <w:tcW w:w="1017" w:type="dxa"/>
            <w:noWrap w:val="0"/>
            <w:vAlign w:val="center"/>
          </w:tcPr>
          <w:p w14:paraId="42F59278">
            <w:pPr>
              <w:spacing w:line="240" w:lineRule="auto"/>
              <w:ind w:left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2025.12.31</w:t>
            </w:r>
          </w:p>
        </w:tc>
      </w:tr>
      <w:tr w14:paraId="69DB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8" w:hRule="atLeast"/>
        </w:trPr>
        <w:tc>
          <w:tcPr>
            <w:tcW w:w="1088" w:type="dxa"/>
            <w:vMerge w:val="continue"/>
            <w:noWrap w:val="0"/>
            <w:vAlign w:val="center"/>
          </w:tcPr>
          <w:p w14:paraId="2A11838D">
            <w:pPr>
              <w:widowControl/>
              <w:spacing w:line="240" w:lineRule="auto"/>
              <w:ind w:leftChars="0"/>
              <w:textAlignment w:val="center"/>
              <w:rPr>
                <w:rFonts w:hint="eastAsia" w:ascii="仿宋_GB2312" w:hAnsi="仿宋_GB2312" w:eastAsia="仿宋_GB2312" w:cs="仿宋_GB2312"/>
                <w:sz w:val="24"/>
                <w:lang w:val="en-US" w:eastAsia="zh-CN"/>
              </w:rPr>
            </w:pPr>
          </w:p>
        </w:tc>
        <w:tc>
          <w:tcPr>
            <w:tcW w:w="1069" w:type="dxa"/>
            <w:noWrap w:val="0"/>
            <w:vAlign w:val="center"/>
          </w:tcPr>
          <w:p w14:paraId="30A82722">
            <w:pPr>
              <w:widowControl/>
              <w:tabs>
                <w:tab w:val="left" w:pos="1123"/>
              </w:tabs>
              <w:spacing w:line="240" w:lineRule="auto"/>
              <w:ind w:leftChars="0"/>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纪律意识不够严实</w:t>
            </w:r>
          </w:p>
        </w:tc>
        <w:tc>
          <w:tcPr>
            <w:tcW w:w="4122" w:type="dxa"/>
            <w:noWrap w:val="0"/>
            <w:vAlign w:val="center"/>
          </w:tcPr>
          <w:p w14:paraId="4026C9AE">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p w14:paraId="7EC9FF59">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纪律意识看待问题、解决问题还有所不足，把纪律规矩扎根于头脑之中的自律意识还有所欠缺；自觉执行工作纪律的标准还不够高，没有时时刻刻自觉用党的纪律严格要求自己，规范自己的言行，存在被动接受监督多，主动接受监督少；对一些日常工作，有时注重结果不重过程，一定程度上存在执行制度不严的情况，导致一些制度落实不够理想。</w:t>
            </w:r>
          </w:p>
          <w:p w14:paraId="14B814D5">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4371" w:type="dxa"/>
            <w:noWrap w:val="0"/>
            <w:vAlign w:val="center"/>
          </w:tcPr>
          <w:p w14:paraId="17A96007">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b w:val="0"/>
                <w:bCs w:val="0"/>
                <w:sz w:val="22"/>
                <w:szCs w:val="22"/>
                <w:lang w:val="en-US" w:eastAsia="zh-CN" w:bidi="ar"/>
              </w:rPr>
            </w:pPr>
            <w:r>
              <w:rPr>
                <w:rFonts w:hint="eastAsia" w:ascii="仿宋_GB2312" w:eastAsia="仿宋_GB2312" w:cs="仿宋_GB2312"/>
                <w:b w:val="0"/>
                <w:bCs w:val="0"/>
                <w:sz w:val="22"/>
                <w:szCs w:val="22"/>
                <w:lang w:val="en-US" w:eastAsia="zh-CN" w:bidi="ar"/>
              </w:rPr>
              <w:t>1.深化党纪学习教育成果。持续开展以党章党规党纪和国家法律为主要内容的纪法教育，将其纳入党委理论学习中心组学习内容，进一步增强领导干部纪法意识，牢固树立“不依法依规依纪就是违法违规违纪”的工作理念，自觉执行工作纪律。</w:t>
            </w:r>
          </w:p>
          <w:p w14:paraId="63B3AC7A">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b w:val="0"/>
                <w:bCs w:val="0"/>
                <w:sz w:val="22"/>
                <w:szCs w:val="22"/>
                <w:lang w:val="en-US" w:eastAsia="zh-CN" w:bidi="ar"/>
              </w:rPr>
            </w:pPr>
            <w:r>
              <w:rPr>
                <w:rFonts w:hint="eastAsia" w:ascii="仿宋_GB2312" w:eastAsia="仿宋_GB2312" w:cs="仿宋_GB2312"/>
                <w:b w:val="0"/>
                <w:bCs w:val="0"/>
                <w:sz w:val="22"/>
                <w:szCs w:val="22"/>
                <w:lang w:val="en-US" w:eastAsia="zh-CN" w:bidi="ar"/>
              </w:rPr>
              <w:t>2.依法依规依纪开展工作。严格按照党章党规党纪和国家法律开展工作，严格落实学院章程，严格执行党和国家、学院的各项制度规定。</w:t>
            </w:r>
          </w:p>
          <w:p w14:paraId="2334428D">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eastAsia="仿宋_GB2312" w:cs="仿宋_GB2312"/>
                <w:b w:val="0"/>
                <w:bCs w:val="0"/>
                <w:sz w:val="22"/>
                <w:szCs w:val="22"/>
                <w:lang w:val="en-US" w:eastAsia="zh-CN" w:bidi="ar"/>
              </w:rPr>
              <w:t>3.严于自律主动接受监督。从</w:t>
            </w:r>
            <w:r>
              <w:rPr>
                <w:rFonts w:hint="eastAsia" w:ascii="仿宋_GB2312" w:eastAsia="仿宋_GB2312" w:cs="仿宋_GB2312"/>
                <w:sz w:val="22"/>
                <w:szCs w:val="22"/>
                <w:lang w:val="en-US" w:eastAsia="zh-CN" w:bidi="ar"/>
              </w:rPr>
              <w:t>党纪学习教育中汲取自我革命的精神力量，时刻用党纪严格要求自己，规范自己的言行，严格执行党务、政务公开，认真及时填报领导干部个人有关事项，做好个人述职、述责述廉等工作，主动接受群众监督。</w:t>
            </w:r>
          </w:p>
        </w:tc>
        <w:tc>
          <w:tcPr>
            <w:tcW w:w="1350" w:type="dxa"/>
            <w:shd w:val="clear" w:color="auto" w:fill="auto"/>
            <w:noWrap w:val="0"/>
            <w:vAlign w:val="center"/>
          </w:tcPr>
          <w:p w14:paraId="2DDFB6A7">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柯金国</w:t>
            </w:r>
          </w:p>
          <w:p w14:paraId="7248F7D9">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许冬红</w:t>
            </w:r>
          </w:p>
          <w:p w14:paraId="577D9A75">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林新钊</w:t>
            </w:r>
          </w:p>
          <w:p w14:paraId="2D338315">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陈金毓</w:t>
            </w:r>
          </w:p>
          <w:p w14:paraId="3BE13108">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阮春高</w:t>
            </w:r>
          </w:p>
          <w:p w14:paraId="0F601EDB">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4"/>
                <w:szCs w:val="24"/>
                <w:lang w:val="en-US" w:eastAsia="zh-CN" w:bidi="ar"/>
              </w:rPr>
              <w:t>张凡</w:t>
            </w:r>
          </w:p>
          <w:p w14:paraId="1AAFB5B1">
            <w:pPr>
              <w:widowControl/>
              <w:spacing w:line="240" w:lineRule="auto"/>
              <w:jc w:val="center"/>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兰希红</w:t>
            </w:r>
          </w:p>
        </w:tc>
        <w:tc>
          <w:tcPr>
            <w:tcW w:w="1257" w:type="dxa"/>
            <w:noWrap w:val="0"/>
            <w:vAlign w:val="center"/>
          </w:tcPr>
          <w:p w14:paraId="06DF6EDC">
            <w:pPr>
              <w:widowControl/>
              <w:spacing w:line="240" w:lineRule="auto"/>
              <w:ind w:leftChars="0"/>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纪委办</w:t>
            </w:r>
          </w:p>
        </w:tc>
        <w:tc>
          <w:tcPr>
            <w:tcW w:w="1042" w:type="dxa"/>
            <w:noWrap w:val="0"/>
            <w:vAlign w:val="center"/>
          </w:tcPr>
          <w:p w14:paraId="74CF4033">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郑志鹏</w:t>
            </w:r>
          </w:p>
        </w:tc>
        <w:tc>
          <w:tcPr>
            <w:tcW w:w="1017" w:type="dxa"/>
            <w:noWrap w:val="0"/>
            <w:vAlign w:val="center"/>
          </w:tcPr>
          <w:p w14:paraId="6C598173">
            <w:pPr>
              <w:spacing w:line="240" w:lineRule="auto"/>
              <w:ind w:left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今年年底并长久立</w:t>
            </w:r>
          </w:p>
        </w:tc>
      </w:tr>
      <w:tr w14:paraId="46A0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03" w:hRule="atLeast"/>
        </w:trPr>
        <w:tc>
          <w:tcPr>
            <w:tcW w:w="1088" w:type="dxa"/>
            <w:vMerge w:val="continue"/>
            <w:noWrap w:val="0"/>
            <w:vAlign w:val="center"/>
          </w:tcPr>
          <w:p w14:paraId="50B0AAF4">
            <w:pPr>
              <w:widowControl/>
              <w:spacing w:line="240" w:lineRule="auto"/>
              <w:ind w:leftChars="0"/>
              <w:textAlignment w:val="center"/>
              <w:rPr>
                <w:rFonts w:hint="eastAsia" w:ascii="仿宋_GB2312" w:hAnsi="仿宋_GB2312" w:eastAsia="仿宋_GB2312" w:cs="仿宋_GB2312"/>
                <w:sz w:val="24"/>
                <w:lang w:val="en-US" w:eastAsia="zh-CN"/>
              </w:rPr>
            </w:pPr>
          </w:p>
        </w:tc>
        <w:tc>
          <w:tcPr>
            <w:tcW w:w="1069" w:type="dxa"/>
            <w:vMerge w:val="restart"/>
            <w:noWrap w:val="0"/>
            <w:vAlign w:val="center"/>
          </w:tcPr>
          <w:p w14:paraId="58731790">
            <w:pPr>
              <w:widowControl/>
              <w:tabs>
                <w:tab w:val="left" w:pos="1123"/>
              </w:tabs>
              <w:spacing w:line="240" w:lineRule="auto"/>
              <w:ind w:leftChars="0"/>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工作作风还不够扎实</w:t>
            </w:r>
          </w:p>
        </w:tc>
        <w:tc>
          <w:tcPr>
            <w:tcW w:w="4122" w:type="dxa"/>
            <w:noWrap w:val="0"/>
            <w:vAlign w:val="center"/>
          </w:tcPr>
          <w:p w14:paraId="2A1311D7">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班子成员深入院系、深入企业调研时，与领导干部交流多，与一线教职工、学生沟通少</w:t>
            </w:r>
          </w:p>
        </w:tc>
        <w:tc>
          <w:tcPr>
            <w:tcW w:w="4371" w:type="dxa"/>
            <w:noWrap w:val="0"/>
            <w:vAlign w:val="center"/>
          </w:tcPr>
          <w:p w14:paraId="6B62EFAB">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val="en-US" w:eastAsia="zh-CN" w:bidi="ar"/>
              </w:rPr>
            </w:pPr>
            <w:r>
              <w:rPr>
                <w:rFonts w:hint="eastAsia" w:ascii="仿宋_GB2312" w:eastAsia="仿宋_GB2312" w:cs="仿宋_GB2312"/>
                <w:sz w:val="22"/>
                <w:szCs w:val="22"/>
                <w:lang w:val="en-US" w:eastAsia="zh-CN" w:bidi="ar"/>
              </w:rPr>
              <w:t>1.优化调研方式方法。主动深入教室、办公室、车间等一线场所，近距离接触一线教职工和学生，了解他们的真实想法和意见。</w:t>
            </w:r>
          </w:p>
          <w:p w14:paraId="1332B37D">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eastAsia="仿宋_GB2312" w:cs="仿宋_GB2312"/>
                <w:sz w:val="22"/>
                <w:szCs w:val="22"/>
                <w:lang w:val="en-US" w:eastAsia="zh-CN" w:bidi="ar"/>
              </w:rPr>
              <w:t>2.跟进问题反馈处理。对调研、走访等收集的问题和意见建议，及时跟踪问题解决进度，并及时将处理结果反馈给相关人员，增强他们参与交流的积极性和主动性。</w:t>
            </w:r>
          </w:p>
        </w:tc>
        <w:tc>
          <w:tcPr>
            <w:tcW w:w="1350" w:type="dxa"/>
            <w:shd w:val="clear" w:color="auto" w:fill="auto"/>
            <w:noWrap w:val="0"/>
            <w:vAlign w:val="center"/>
          </w:tcPr>
          <w:p w14:paraId="02B15FF8">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柯金国</w:t>
            </w:r>
          </w:p>
          <w:p w14:paraId="5CAB724B">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许冬红</w:t>
            </w:r>
          </w:p>
          <w:p w14:paraId="05579D13">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林新钊</w:t>
            </w:r>
          </w:p>
          <w:p w14:paraId="15BABDF4">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陈金毓</w:t>
            </w:r>
          </w:p>
          <w:p w14:paraId="635ACE6E">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阮春高</w:t>
            </w:r>
          </w:p>
          <w:p w14:paraId="095FC9CD">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4"/>
                <w:szCs w:val="24"/>
                <w:lang w:val="en-US" w:eastAsia="zh-CN" w:bidi="ar"/>
              </w:rPr>
              <w:t>张凡</w:t>
            </w:r>
          </w:p>
          <w:p w14:paraId="58969A02">
            <w:pPr>
              <w:widowControl/>
              <w:spacing w:line="240" w:lineRule="auto"/>
              <w:jc w:val="center"/>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兰希红</w:t>
            </w:r>
          </w:p>
        </w:tc>
        <w:tc>
          <w:tcPr>
            <w:tcW w:w="1257" w:type="dxa"/>
            <w:noWrap w:val="0"/>
            <w:vAlign w:val="center"/>
          </w:tcPr>
          <w:p w14:paraId="32930606">
            <w:pPr>
              <w:widowControl/>
              <w:spacing w:line="240" w:lineRule="auto"/>
              <w:ind w:leftChars="0"/>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党政办</w:t>
            </w:r>
          </w:p>
        </w:tc>
        <w:tc>
          <w:tcPr>
            <w:tcW w:w="1042" w:type="dxa"/>
            <w:noWrap w:val="0"/>
            <w:vAlign w:val="center"/>
          </w:tcPr>
          <w:p w14:paraId="06E643D0">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郭丽花</w:t>
            </w:r>
          </w:p>
        </w:tc>
        <w:tc>
          <w:tcPr>
            <w:tcW w:w="1017" w:type="dxa"/>
            <w:noWrap w:val="0"/>
            <w:vAlign w:val="center"/>
          </w:tcPr>
          <w:p w14:paraId="20D0A092">
            <w:pPr>
              <w:spacing w:line="240" w:lineRule="auto"/>
              <w:ind w:left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2025.12.31</w:t>
            </w:r>
          </w:p>
        </w:tc>
      </w:tr>
      <w:tr w14:paraId="2998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3" w:hRule="atLeast"/>
        </w:trPr>
        <w:tc>
          <w:tcPr>
            <w:tcW w:w="1088" w:type="dxa"/>
            <w:vMerge w:val="continue"/>
            <w:noWrap w:val="0"/>
            <w:vAlign w:val="center"/>
          </w:tcPr>
          <w:p w14:paraId="6C1F228A">
            <w:pPr>
              <w:widowControl/>
              <w:spacing w:line="240" w:lineRule="auto"/>
              <w:ind w:leftChars="0"/>
              <w:textAlignment w:val="center"/>
              <w:rPr>
                <w:rFonts w:hint="eastAsia" w:ascii="仿宋_GB2312" w:hAnsi="仿宋_GB2312" w:eastAsia="仿宋_GB2312" w:cs="仿宋_GB2312"/>
                <w:sz w:val="24"/>
                <w:lang w:val="en-US" w:eastAsia="zh-CN"/>
              </w:rPr>
            </w:pPr>
          </w:p>
        </w:tc>
        <w:tc>
          <w:tcPr>
            <w:tcW w:w="1069" w:type="dxa"/>
            <w:vMerge w:val="continue"/>
            <w:noWrap w:val="0"/>
            <w:vAlign w:val="center"/>
          </w:tcPr>
          <w:p w14:paraId="45E43008">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4122" w:type="dxa"/>
            <w:vMerge w:val="restart"/>
            <w:noWrap w:val="0"/>
            <w:vAlign w:val="center"/>
          </w:tcPr>
          <w:p w14:paraId="56A514AE">
            <w:pPr>
              <w:widowControl/>
              <w:tabs>
                <w:tab w:val="left" w:pos="1123"/>
              </w:tabs>
              <w:spacing w:line="240" w:lineRule="auto"/>
              <w:ind w:leftChars="0"/>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推动干部职工有效担当作为、履职尽责的举措还不够多，广大教职工干事创业的主动性、积极性未得到充分调动。</w:t>
            </w:r>
          </w:p>
          <w:p w14:paraId="559D9E61">
            <w:pPr>
              <w:widowControl/>
              <w:tabs>
                <w:tab w:val="left" w:pos="1123"/>
              </w:tabs>
              <w:spacing w:line="240" w:lineRule="auto"/>
              <w:ind w:leftChars="0"/>
              <w:textAlignment w:val="center"/>
              <w:rPr>
                <w:rFonts w:hint="eastAsia" w:ascii="仿宋_GB2312" w:hAnsi="仿宋_GB2312" w:eastAsia="仿宋_GB2312" w:cs="仿宋_GB2312"/>
                <w:b w:val="0"/>
                <w:bCs/>
                <w:sz w:val="32"/>
                <w:szCs w:val="32"/>
              </w:rPr>
            </w:pPr>
          </w:p>
        </w:tc>
        <w:tc>
          <w:tcPr>
            <w:tcW w:w="4371" w:type="dxa"/>
            <w:noWrap w:val="0"/>
            <w:vAlign w:val="center"/>
          </w:tcPr>
          <w:p w14:paraId="79ACB2DE">
            <w:pPr>
              <w:pStyle w:val="4"/>
              <w:widowControl w:val="0"/>
              <w:numPr>
                <w:ilvl w:val="0"/>
                <w:numId w:val="0"/>
              </w:numPr>
              <w:shd w:val="clear" w:color="auto" w:fill="FFFFFF"/>
              <w:tabs>
                <w:tab w:val="left" w:pos="1160"/>
              </w:tabs>
              <w:spacing w:before="0" w:beforeAutospacing="0" w:after="0" w:afterAutospacing="0" w:line="240" w:lineRule="auto"/>
              <w:rPr>
                <w:rFonts w:hint="eastAsia" w:ascii="仿宋_GB2312" w:eastAsia="仿宋_GB2312" w:cs="仿宋_GB2312"/>
                <w:sz w:val="22"/>
                <w:szCs w:val="22"/>
                <w:lang w:val="en-US" w:eastAsia="zh-CN" w:bidi="ar"/>
              </w:rPr>
            </w:pPr>
            <w:r>
              <w:rPr>
                <w:rFonts w:hint="eastAsia" w:ascii="仿宋_GB2312" w:eastAsia="仿宋_GB2312" w:cs="仿宋_GB2312"/>
                <w:sz w:val="22"/>
                <w:szCs w:val="22"/>
                <w:lang w:val="en-US" w:eastAsia="zh-CN" w:bidi="ar"/>
              </w:rPr>
              <w:t>1.加强干部教育培训，选派干部参加省市培训，组织学院科级及以上干部开展教育培训，提升担当作为、履职尽责能力素质。</w:t>
            </w:r>
          </w:p>
          <w:p w14:paraId="5EC899DE">
            <w:pPr>
              <w:pStyle w:val="4"/>
              <w:widowControl w:val="0"/>
              <w:numPr>
                <w:ilvl w:val="0"/>
                <w:numId w:val="0"/>
              </w:numPr>
              <w:shd w:val="clear" w:color="auto" w:fill="FFFFFF"/>
              <w:tabs>
                <w:tab w:val="left" w:pos="1160"/>
              </w:tabs>
              <w:spacing w:before="0" w:beforeAutospacing="0" w:after="0" w:afterAutospacing="0" w:line="240" w:lineRule="auto"/>
              <w:rPr>
                <w:rFonts w:hint="default" w:ascii="仿宋_GB2312" w:eastAsia="仿宋_GB2312" w:cs="仿宋_GB2312"/>
                <w:sz w:val="22"/>
                <w:szCs w:val="22"/>
                <w:lang w:val="en-US" w:eastAsia="zh-CN" w:bidi="ar"/>
              </w:rPr>
            </w:pPr>
            <w:r>
              <w:rPr>
                <w:rFonts w:hint="eastAsia" w:ascii="仿宋_GB2312" w:eastAsia="仿宋_GB2312" w:cs="仿宋_GB2312"/>
                <w:sz w:val="22"/>
                <w:szCs w:val="22"/>
                <w:lang w:val="en-US" w:eastAsia="zh-CN" w:bidi="ar"/>
              </w:rPr>
              <w:t>2.加强干部考核评价，开展年度工作考核测评工作，推动干部争优创先。</w:t>
            </w:r>
          </w:p>
        </w:tc>
        <w:tc>
          <w:tcPr>
            <w:tcW w:w="1350" w:type="dxa"/>
            <w:vMerge w:val="restart"/>
            <w:shd w:val="clear" w:color="auto" w:fill="auto"/>
            <w:noWrap w:val="0"/>
            <w:vAlign w:val="center"/>
          </w:tcPr>
          <w:p w14:paraId="08A35724">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柯金国</w:t>
            </w:r>
          </w:p>
          <w:p w14:paraId="76CF2D50">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许冬红</w:t>
            </w:r>
          </w:p>
          <w:p w14:paraId="26BCB7DA">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林新钊</w:t>
            </w:r>
          </w:p>
          <w:p w14:paraId="634535DD">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陈金毓</w:t>
            </w:r>
          </w:p>
          <w:p w14:paraId="52A59D6A">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阮春高</w:t>
            </w:r>
          </w:p>
          <w:p w14:paraId="3D7930CC">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4"/>
                <w:szCs w:val="24"/>
                <w:lang w:val="en-US" w:eastAsia="zh-CN" w:bidi="ar"/>
              </w:rPr>
              <w:t>张凡</w:t>
            </w:r>
          </w:p>
          <w:p w14:paraId="46538A2A">
            <w:pPr>
              <w:widowControl/>
              <w:spacing w:line="240" w:lineRule="auto"/>
              <w:jc w:val="center"/>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兰希红</w:t>
            </w:r>
          </w:p>
        </w:tc>
        <w:tc>
          <w:tcPr>
            <w:tcW w:w="1257" w:type="dxa"/>
            <w:noWrap w:val="0"/>
            <w:vAlign w:val="center"/>
          </w:tcPr>
          <w:p w14:paraId="2E2F6611">
            <w:pPr>
              <w:widowControl/>
              <w:spacing w:line="240" w:lineRule="auto"/>
              <w:ind w:leftChars="0"/>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组织部</w:t>
            </w:r>
          </w:p>
        </w:tc>
        <w:tc>
          <w:tcPr>
            <w:tcW w:w="1042" w:type="dxa"/>
            <w:noWrap w:val="0"/>
            <w:vAlign w:val="center"/>
          </w:tcPr>
          <w:p w14:paraId="0A6914B5">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陈志雄</w:t>
            </w:r>
          </w:p>
        </w:tc>
        <w:tc>
          <w:tcPr>
            <w:tcW w:w="1017" w:type="dxa"/>
            <w:noWrap w:val="0"/>
            <w:vAlign w:val="center"/>
          </w:tcPr>
          <w:p w14:paraId="6C9E4D82">
            <w:pPr>
              <w:spacing w:line="240" w:lineRule="auto"/>
              <w:ind w:left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2025.12.31</w:t>
            </w:r>
          </w:p>
        </w:tc>
      </w:tr>
      <w:tr w14:paraId="42D9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1" w:hRule="atLeast"/>
        </w:trPr>
        <w:tc>
          <w:tcPr>
            <w:tcW w:w="1088" w:type="dxa"/>
            <w:vMerge w:val="continue"/>
            <w:noWrap w:val="0"/>
            <w:vAlign w:val="center"/>
          </w:tcPr>
          <w:p w14:paraId="4ADF8A42">
            <w:pPr>
              <w:widowControl/>
              <w:spacing w:line="240" w:lineRule="auto"/>
              <w:ind w:leftChars="0"/>
              <w:textAlignment w:val="center"/>
              <w:rPr>
                <w:rFonts w:hint="eastAsia" w:ascii="仿宋_GB2312" w:hAnsi="仿宋_GB2312" w:eastAsia="仿宋_GB2312" w:cs="仿宋_GB2312"/>
                <w:sz w:val="24"/>
                <w:lang w:val="en-US" w:eastAsia="zh-CN"/>
              </w:rPr>
            </w:pPr>
          </w:p>
        </w:tc>
        <w:tc>
          <w:tcPr>
            <w:tcW w:w="1069" w:type="dxa"/>
            <w:vMerge w:val="continue"/>
            <w:noWrap w:val="0"/>
            <w:vAlign w:val="center"/>
          </w:tcPr>
          <w:p w14:paraId="7FD73A2B">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4122" w:type="dxa"/>
            <w:vMerge w:val="continue"/>
            <w:noWrap w:val="0"/>
            <w:vAlign w:val="center"/>
          </w:tcPr>
          <w:p w14:paraId="4939EF99">
            <w:pPr>
              <w:widowControl/>
              <w:tabs>
                <w:tab w:val="left" w:pos="1123"/>
              </w:tabs>
              <w:spacing w:line="240" w:lineRule="auto"/>
              <w:ind w:leftChars="0"/>
              <w:textAlignment w:val="center"/>
              <w:rPr>
                <w:rFonts w:hint="eastAsia" w:ascii="仿宋_GB2312" w:hAnsi="仿宋_GB2312" w:eastAsia="仿宋_GB2312" w:cs="仿宋_GB2312"/>
                <w:b w:val="0"/>
                <w:bCs/>
                <w:sz w:val="32"/>
                <w:szCs w:val="32"/>
              </w:rPr>
            </w:pPr>
          </w:p>
        </w:tc>
        <w:tc>
          <w:tcPr>
            <w:tcW w:w="4371" w:type="dxa"/>
            <w:noWrap w:val="0"/>
            <w:vAlign w:val="center"/>
          </w:tcPr>
          <w:p w14:paraId="338C0DED">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eastAsia="仿宋_GB2312" w:cs="仿宋_GB2312"/>
                <w:sz w:val="22"/>
                <w:szCs w:val="22"/>
                <w:lang w:val="en-US" w:eastAsia="zh-CN" w:bidi="ar"/>
              </w:rPr>
              <w:t>进一步推动职称、绩效改革、</w:t>
            </w:r>
            <w:r>
              <w:rPr>
                <w:rFonts w:hint="eastAsia" w:ascii="仿宋_GB2312" w:eastAsia="仿宋_GB2312" w:cs="仿宋_GB2312"/>
                <w:kern w:val="0"/>
                <w:sz w:val="22"/>
                <w:szCs w:val="22"/>
                <w:lang w:val="en-US" w:eastAsia="zh-CN" w:bidi="ar"/>
              </w:rPr>
              <w:t>加大高水平人才培育认定力度，进一步加强和完善高水平人才培育认定管理工作，注重校级高水平人才培育认定，逐步实现“双师型”教师或骨干教师、专业（学科）带头人、教学名师或技能大师的人才梯队建设，逐步完善教学名师工作室、技能大师工作室、教师教学创新团队的建设,</w:t>
            </w:r>
            <w:r>
              <w:rPr>
                <w:rFonts w:hint="eastAsia" w:ascii="仿宋_GB2312" w:eastAsia="仿宋_GB2312" w:cs="仿宋_GB2312"/>
                <w:sz w:val="22"/>
                <w:szCs w:val="22"/>
                <w:lang w:val="en-US" w:eastAsia="zh-CN" w:bidi="ar"/>
              </w:rPr>
              <w:t>推动</w:t>
            </w:r>
            <w:r>
              <w:rPr>
                <w:rFonts w:hint="eastAsia" w:ascii="仿宋_GB2312" w:hAnsi="宋体" w:eastAsia="仿宋_GB2312" w:cs="仿宋_GB2312"/>
                <w:kern w:val="0"/>
                <w:sz w:val="22"/>
                <w:szCs w:val="22"/>
                <w:lang w:val="en-US" w:eastAsia="zh-CN" w:bidi="ar"/>
              </w:rPr>
              <w:t>广大教职工干事创业的主动性</w:t>
            </w:r>
            <w:r>
              <w:rPr>
                <w:rFonts w:hint="eastAsia" w:ascii="仿宋_GB2312" w:eastAsia="仿宋_GB2312" w:cs="仿宋_GB2312"/>
                <w:kern w:val="0"/>
                <w:sz w:val="22"/>
                <w:szCs w:val="22"/>
                <w:lang w:val="en-US" w:eastAsia="zh-CN" w:bidi="ar"/>
              </w:rPr>
              <w:t>。</w:t>
            </w:r>
          </w:p>
        </w:tc>
        <w:tc>
          <w:tcPr>
            <w:tcW w:w="1350" w:type="dxa"/>
            <w:vMerge w:val="continue"/>
            <w:noWrap w:val="0"/>
            <w:vAlign w:val="center"/>
          </w:tcPr>
          <w:p w14:paraId="68DFFB57">
            <w:pPr>
              <w:widowControl/>
              <w:spacing w:line="240" w:lineRule="auto"/>
              <w:ind w:leftChars="0"/>
              <w:jc w:val="both"/>
              <w:textAlignment w:val="center"/>
              <w:rPr>
                <w:rFonts w:hint="eastAsia" w:ascii="仿宋_GB2312" w:hAnsi="宋体" w:eastAsia="仿宋_GB2312" w:cs="仿宋_GB2312"/>
                <w:kern w:val="0"/>
                <w:sz w:val="22"/>
                <w:szCs w:val="22"/>
                <w:lang w:val="en-US" w:eastAsia="zh-CN" w:bidi="ar"/>
              </w:rPr>
            </w:pPr>
          </w:p>
        </w:tc>
        <w:tc>
          <w:tcPr>
            <w:tcW w:w="1257" w:type="dxa"/>
            <w:noWrap w:val="0"/>
            <w:vAlign w:val="center"/>
          </w:tcPr>
          <w:p w14:paraId="3FBB90A3">
            <w:pPr>
              <w:widowControl/>
              <w:spacing w:line="240" w:lineRule="auto"/>
              <w:ind w:leftChars="0"/>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人事处</w:t>
            </w:r>
          </w:p>
        </w:tc>
        <w:tc>
          <w:tcPr>
            <w:tcW w:w="1042" w:type="dxa"/>
            <w:noWrap w:val="0"/>
            <w:vAlign w:val="center"/>
          </w:tcPr>
          <w:p w14:paraId="6A3F50B0">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陈群霞</w:t>
            </w:r>
          </w:p>
        </w:tc>
        <w:tc>
          <w:tcPr>
            <w:tcW w:w="1017" w:type="dxa"/>
            <w:noWrap w:val="0"/>
            <w:vAlign w:val="center"/>
          </w:tcPr>
          <w:p w14:paraId="635F4D97">
            <w:pPr>
              <w:spacing w:line="240" w:lineRule="auto"/>
              <w:ind w:left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2025.12.31</w:t>
            </w:r>
          </w:p>
        </w:tc>
      </w:tr>
      <w:tr w14:paraId="537E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0" w:hRule="atLeast"/>
        </w:trPr>
        <w:tc>
          <w:tcPr>
            <w:tcW w:w="1088" w:type="dxa"/>
            <w:vMerge w:val="restart"/>
            <w:noWrap w:val="0"/>
            <w:vAlign w:val="center"/>
          </w:tcPr>
          <w:p w14:paraId="49170D0C">
            <w:pPr>
              <w:widowControl/>
              <w:spacing w:line="240" w:lineRule="auto"/>
              <w:ind w:leftChars="0"/>
              <w:jc w:val="both"/>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3.带头在遵纪守纪、清正廉洁前提下勇于担责、敢于创新方面</w:t>
            </w:r>
          </w:p>
        </w:tc>
        <w:tc>
          <w:tcPr>
            <w:tcW w:w="1069" w:type="dxa"/>
            <w:vMerge w:val="restart"/>
            <w:noWrap w:val="0"/>
            <w:vAlign w:val="center"/>
          </w:tcPr>
          <w:p w14:paraId="1D6C38CC">
            <w:pPr>
              <w:widowControl/>
              <w:tabs>
                <w:tab w:val="left" w:pos="1123"/>
              </w:tabs>
              <w:spacing w:line="240" w:lineRule="auto"/>
              <w:ind w:leftChars="0"/>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攻坚克难的勇气有所弱化</w:t>
            </w:r>
          </w:p>
        </w:tc>
        <w:tc>
          <w:tcPr>
            <w:tcW w:w="4122" w:type="dxa"/>
            <w:vMerge w:val="restart"/>
            <w:noWrap w:val="0"/>
            <w:vAlign w:val="center"/>
          </w:tcPr>
          <w:p w14:paraId="7D12EB4E">
            <w:pPr>
              <w:widowControl/>
              <w:tabs>
                <w:tab w:val="left" w:pos="1123"/>
              </w:tabs>
              <w:spacing w:line="240" w:lineRule="auto"/>
              <w:ind w:leftChars="0"/>
              <w:textAlignment w:val="center"/>
              <w:rPr>
                <w:rFonts w:hint="eastAsia" w:ascii="仿宋_GB2312" w:hAnsi="仿宋_GB2312" w:eastAsia="仿宋_GB2312" w:cs="仿宋_GB2312"/>
                <w:b w:val="0"/>
                <w:bCs/>
                <w:sz w:val="32"/>
                <w:szCs w:val="32"/>
              </w:rPr>
            </w:pPr>
            <w:r>
              <w:rPr>
                <w:rFonts w:hint="eastAsia" w:ascii="仿宋_GB2312" w:hAnsi="宋体" w:eastAsia="仿宋_GB2312" w:cs="仿宋_GB2312"/>
                <w:kern w:val="0"/>
                <w:sz w:val="22"/>
                <w:szCs w:val="22"/>
                <w:lang w:val="en-US" w:eastAsia="zh-CN" w:bidi="ar"/>
              </w:rPr>
              <w:t>在学院内涵质量提升上发力不够、举措不多，教学能力、教学质量、师资队伍、科学研究等方面都还有差距</w:t>
            </w:r>
          </w:p>
        </w:tc>
        <w:tc>
          <w:tcPr>
            <w:tcW w:w="4371" w:type="dxa"/>
            <w:noWrap w:val="0"/>
            <w:vAlign w:val="center"/>
          </w:tcPr>
          <w:p w14:paraId="48C1043A">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eastAsia="仿宋_GB2312" w:cs="仿宋_GB2312"/>
                <w:sz w:val="22"/>
                <w:szCs w:val="22"/>
                <w:lang w:val="en-US" w:eastAsia="zh-CN" w:bidi="ar"/>
              </w:rPr>
              <w:t>动态修订人才培养方案，优化课程体系，推进混改课、优质课、精品课三级课程建设，开展说专业群、说专业、说课程大赛，实施分层分类教师教学能力提升计划，推广优秀且可复制做法，提升教师教学质量。</w:t>
            </w:r>
          </w:p>
        </w:tc>
        <w:tc>
          <w:tcPr>
            <w:tcW w:w="1350" w:type="dxa"/>
            <w:vMerge w:val="restart"/>
            <w:shd w:val="clear" w:color="auto" w:fill="auto"/>
            <w:noWrap w:val="0"/>
            <w:vAlign w:val="center"/>
          </w:tcPr>
          <w:p w14:paraId="1DAA8C19">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柯金国</w:t>
            </w:r>
          </w:p>
          <w:p w14:paraId="44F9D63B">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许冬红</w:t>
            </w:r>
          </w:p>
          <w:p w14:paraId="7753DA0F">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林新钊</w:t>
            </w:r>
          </w:p>
          <w:p w14:paraId="265FF8FD">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陈金毓</w:t>
            </w:r>
          </w:p>
          <w:p w14:paraId="0C1EB0D4">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阮春高</w:t>
            </w:r>
          </w:p>
          <w:p w14:paraId="789A8D73">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4"/>
                <w:szCs w:val="24"/>
                <w:lang w:val="en-US" w:eastAsia="zh-CN" w:bidi="ar"/>
              </w:rPr>
              <w:t>张凡</w:t>
            </w:r>
          </w:p>
          <w:p w14:paraId="422FC7C7">
            <w:pPr>
              <w:widowControl/>
              <w:spacing w:line="240" w:lineRule="auto"/>
              <w:jc w:val="center"/>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兰希红</w:t>
            </w:r>
          </w:p>
        </w:tc>
        <w:tc>
          <w:tcPr>
            <w:tcW w:w="1257" w:type="dxa"/>
            <w:noWrap w:val="0"/>
            <w:vAlign w:val="center"/>
          </w:tcPr>
          <w:p w14:paraId="2B6E8E48">
            <w:pPr>
              <w:widowControl/>
              <w:spacing w:line="240" w:lineRule="auto"/>
              <w:ind w:leftChars="0"/>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教务处</w:t>
            </w:r>
          </w:p>
        </w:tc>
        <w:tc>
          <w:tcPr>
            <w:tcW w:w="1042" w:type="dxa"/>
            <w:noWrap w:val="0"/>
            <w:vAlign w:val="center"/>
          </w:tcPr>
          <w:p w14:paraId="1EF24DF9">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陈志君</w:t>
            </w:r>
          </w:p>
        </w:tc>
        <w:tc>
          <w:tcPr>
            <w:tcW w:w="1017" w:type="dxa"/>
            <w:noWrap w:val="0"/>
            <w:vAlign w:val="center"/>
          </w:tcPr>
          <w:p w14:paraId="63F0A713">
            <w:pPr>
              <w:spacing w:line="240" w:lineRule="auto"/>
              <w:ind w:left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长久立</w:t>
            </w:r>
          </w:p>
        </w:tc>
      </w:tr>
      <w:tr w14:paraId="4E23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1" w:hRule="atLeast"/>
        </w:trPr>
        <w:tc>
          <w:tcPr>
            <w:tcW w:w="1088" w:type="dxa"/>
            <w:vMerge w:val="continue"/>
            <w:noWrap w:val="0"/>
            <w:vAlign w:val="center"/>
          </w:tcPr>
          <w:p w14:paraId="5D9E30E7">
            <w:pPr>
              <w:widowControl/>
              <w:spacing w:line="240" w:lineRule="auto"/>
              <w:ind w:leftChars="0"/>
              <w:textAlignment w:val="center"/>
              <w:rPr>
                <w:rFonts w:hint="eastAsia" w:ascii="仿宋_GB2312" w:hAnsi="仿宋_GB2312" w:eastAsia="仿宋_GB2312" w:cs="仿宋_GB2312"/>
                <w:sz w:val="24"/>
                <w:lang w:val="en-US" w:eastAsia="zh-CN"/>
              </w:rPr>
            </w:pPr>
          </w:p>
        </w:tc>
        <w:tc>
          <w:tcPr>
            <w:tcW w:w="1069" w:type="dxa"/>
            <w:vMerge w:val="continue"/>
            <w:noWrap w:val="0"/>
            <w:vAlign w:val="center"/>
          </w:tcPr>
          <w:p w14:paraId="66DF0443">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4122" w:type="dxa"/>
            <w:vMerge w:val="continue"/>
            <w:noWrap w:val="0"/>
            <w:vAlign w:val="center"/>
          </w:tcPr>
          <w:p w14:paraId="06C03D49">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4371" w:type="dxa"/>
            <w:noWrap w:val="0"/>
            <w:vAlign w:val="center"/>
          </w:tcPr>
          <w:p w14:paraId="5ABB7D27">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eastAsia="仿宋_GB2312" w:cs="仿宋_GB2312"/>
                <w:kern w:val="0"/>
                <w:sz w:val="22"/>
                <w:szCs w:val="22"/>
                <w:lang w:val="en-US" w:eastAsia="zh-CN" w:bidi="ar"/>
              </w:rPr>
              <w:t>落实教师下企业制度改革，加大高水平人才培育认定力度，进一步加强和完善高水平人才培育认定管理工作，注重校级高水平人才培育认定，逐步实现“双师型”教师或骨干教师、专业（学科）带头人、教学名师或技能大师的人才梯队建设，逐步完善教学名师工作室、技能大师工作室、教师教学创新团队的建设。</w:t>
            </w:r>
          </w:p>
        </w:tc>
        <w:tc>
          <w:tcPr>
            <w:tcW w:w="1350" w:type="dxa"/>
            <w:vMerge w:val="continue"/>
            <w:noWrap w:val="0"/>
            <w:vAlign w:val="center"/>
          </w:tcPr>
          <w:p w14:paraId="0ADDD6A7">
            <w:pPr>
              <w:widowControl/>
              <w:spacing w:line="240" w:lineRule="auto"/>
              <w:ind w:leftChars="0"/>
              <w:jc w:val="both"/>
              <w:textAlignment w:val="center"/>
              <w:rPr>
                <w:rFonts w:hint="eastAsia" w:ascii="仿宋_GB2312" w:hAnsi="宋体" w:eastAsia="仿宋_GB2312" w:cs="仿宋_GB2312"/>
                <w:kern w:val="0"/>
                <w:sz w:val="22"/>
                <w:szCs w:val="22"/>
                <w:lang w:val="en-US" w:eastAsia="zh-CN" w:bidi="ar"/>
              </w:rPr>
            </w:pPr>
          </w:p>
        </w:tc>
        <w:tc>
          <w:tcPr>
            <w:tcW w:w="1257" w:type="dxa"/>
            <w:noWrap w:val="0"/>
            <w:vAlign w:val="center"/>
          </w:tcPr>
          <w:p w14:paraId="12A66A88">
            <w:pPr>
              <w:widowControl/>
              <w:spacing w:line="240" w:lineRule="auto"/>
              <w:ind w:leftChars="0"/>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人事处</w:t>
            </w:r>
          </w:p>
        </w:tc>
        <w:tc>
          <w:tcPr>
            <w:tcW w:w="1042" w:type="dxa"/>
            <w:noWrap w:val="0"/>
            <w:vAlign w:val="center"/>
          </w:tcPr>
          <w:p w14:paraId="6E3CDAE6">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陈群霞</w:t>
            </w:r>
          </w:p>
        </w:tc>
        <w:tc>
          <w:tcPr>
            <w:tcW w:w="1017" w:type="dxa"/>
            <w:noWrap w:val="0"/>
            <w:vAlign w:val="center"/>
          </w:tcPr>
          <w:p w14:paraId="6A6D562C">
            <w:pPr>
              <w:spacing w:line="240" w:lineRule="auto"/>
              <w:ind w:left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2025.12.31</w:t>
            </w:r>
          </w:p>
        </w:tc>
      </w:tr>
      <w:tr w14:paraId="68FC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1" w:hRule="atLeast"/>
        </w:trPr>
        <w:tc>
          <w:tcPr>
            <w:tcW w:w="1088" w:type="dxa"/>
            <w:vMerge w:val="continue"/>
            <w:noWrap w:val="0"/>
            <w:vAlign w:val="center"/>
          </w:tcPr>
          <w:p w14:paraId="41DDEC74">
            <w:pPr>
              <w:widowControl/>
              <w:spacing w:line="240" w:lineRule="auto"/>
              <w:ind w:leftChars="0"/>
              <w:textAlignment w:val="center"/>
              <w:rPr>
                <w:rFonts w:hint="eastAsia" w:ascii="仿宋_GB2312" w:hAnsi="仿宋_GB2312" w:eastAsia="仿宋_GB2312" w:cs="仿宋_GB2312"/>
                <w:sz w:val="24"/>
                <w:lang w:val="en-US" w:eastAsia="zh-CN"/>
              </w:rPr>
            </w:pPr>
          </w:p>
        </w:tc>
        <w:tc>
          <w:tcPr>
            <w:tcW w:w="1069" w:type="dxa"/>
            <w:vMerge w:val="continue"/>
            <w:noWrap w:val="0"/>
            <w:vAlign w:val="center"/>
          </w:tcPr>
          <w:p w14:paraId="6A177CE2">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4122" w:type="dxa"/>
            <w:vMerge w:val="continue"/>
            <w:noWrap w:val="0"/>
            <w:vAlign w:val="center"/>
          </w:tcPr>
          <w:p w14:paraId="3E811AD1">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4371" w:type="dxa"/>
            <w:noWrap w:val="0"/>
            <w:vAlign w:val="center"/>
          </w:tcPr>
          <w:p w14:paraId="12141A1F">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方正仿宋_GB2312" w:hAnsi="方正仿宋_GB2312" w:eastAsia="方正仿宋_GB2312" w:cs="方正仿宋_GB2312"/>
                <w:color w:val="auto"/>
                <w:sz w:val="21"/>
                <w:szCs w:val="21"/>
                <w:vertAlign w:val="baseline"/>
                <w:lang w:val="en-US" w:eastAsia="zh-CN"/>
              </w:rPr>
              <w:t>强化有组织科研，组建科研团队。积极推进各级各类科研平台建设与申报工作，构建“校级—市级—省部级”三级科研平台体系，提升科研管理工作的系统性与组织性，大力优化科研资源配置，继续围绕学科特色培育科研团队，引导教师的科研成果向学校专业学科重点发展方向靠拢。</w:t>
            </w:r>
          </w:p>
        </w:tc>
        <w:tc>
          <w:tcPr>
            <w:tcW w:w="1350" w:type="dxa"/>
            <w:vMerge w:val="continue"/>
            <w:noWrap w:val="0"/>
            <w:vAlign w:val="center"/>
          </w:tcPr>
          <w:p w14:paraId="1AE93A6D">
            <w:pPr>
              <w:widowControl/>
              <w:spacing w:line="240" w:lineRule="auto"/>
              <w:ind w:leftChars="0"/>
              <w:jc w:val="both"/>
              <w:textAlignment w:val="center"/>
              <w:rPr>
                <w:rFonts w:hint="eastAsia" w:ascii="仿宋_GB2312" w:hAnsi="宋体" w:eastAsia="仿宋_GB2312" w:cs="仿宋_GB2312"/>
                <w:kern w:val="0"/>
                <w:sz w:val="22"/>
                <w:szCs w:val="22"/>
                <w:lang w:val="en-US" w:eastAsia="zh-CN" w:bidi="ar"/>
              </w:rPr>
            </w:pPr>
          </w:p>
        </w:tc>
        <w:tc>
          <w:tcPr>
            <w:tcW w:w="1257" w:type="dxa"/>
            <w:noWrap w:val="0"/>
            <w:vAlign w:val="center"/>
          </w:tcPr>
          <w:p w14:paraId="6BE4950B">
            <w:pPr>
              <w:widowControl/>
              <w:spacing w:line="240" w:lineRule="auto"/>
              <w:ind w:leftChars="0"/>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产学研交流合作处</w:t>
            </w:r>
          </w:p>
        </w:tc>
        <w:tc>
          <w:tcPr>
            <w:tcW w:w="1042" w:type="dxa"/>
            <w:noWrap w:val="0"/>
            <w:vAlign w:val="center"/>
          </w:tcPr>
          <w:p w14:paraId="1034C14D">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林志谦</w:t>
            </w:r>
          </w:p>
        </w:tc>
        <w:tc>
          <w:tcPr>
            <w:tcW w:w="1017" w:type="dxa"/>
            <w:noWrap w:val="0"/>
            <w:vAlign w:val="center"/>
          </w:tcPr>
          <w:p w14:paraId="617FA109">
            <w:pPr>
              <w:spacing w:line="240" w:lineRule="auto"/>
              <w:ind w:left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2025.12.31</w:t>
            </w:r>
          </w:p>
        </w:tc>
      </w:tr>
      <w:tr w14:paraId="1204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28" w:hRule="atLeast"/>
        </w:trPr>
        <w:tc>
          <w:tcPr>
            <w:tcW w:w="1088" w:type="dxa"/>
            <w:vMerge w:val="continue"/>
            <w:noWrap w:val="0"/>
            <w:vAlign w:val="center"/>
          </w:tcPr>
          <w:p w14:paraId="0C066FD3">
            <w:pPr>
              <w:widowControl/>
              <w:spacing w:line="240" w:lineRule="auto"/>
              <w:ind w:leftChars="0"/>
              <w:textAlignment w:val="center"/>
              <w:rPr>
                <w:rFonts w:hint="eastAsia" w:ascii="仿宋_GB2312" w:hAnsi="仿宋_GB2312" w:eastAsia="仿宋_GB2312" w:cs="仿宋_GB2312"/>
                <w:sz w:val="24"/>
                <w:lang w:val="en-US" w:eastAsia="zh-CN"/>
              </w:rPr>
            </w:pPr>
          </w:p>
        </w:tc>
        <w:tc>
          <w:tcPr>
            <w:tcW w:w="1069" w:type="dxa"/>
            <w:vMerge w:val="continue"/>
            <w:noWrap w:val="0"/>
            <w:vAlign w:val="center"/>
          </w:tcPr>
          <w:p w14:paraId="34B48E64">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4122" w:type="dxa"/>
            <w:noWrap w:val="0"/>
            <w:vAlign w:val="center"/>
          </w:tcPr>
          <w:p w14:paraId="26631E80">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在标志性成果上，国家级项目偏少，缺少向上冲、迎难而上的勇气，推进的力度也不够等</w:t>
            </w:r>
          </w:p>
        </w:tc>
        <w:tc>
          <w:tcPr>
            <w:tcW w:w="4371" w:type="dxa"/>
            <w:noWrap w:val="0"/>
            <w:vAlign w:val="center"/>
          </w:tcPr>
          <w:p w14:paraId="5683EDCC">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eastAsia="仿宋_GB2312" w:cs="仿宋_GB2312"/>
                <w:sz w:val="22"/>
                <w:szCs w:val="22"/>
                <w:lang w:eastAsia="zh-CN" w:bidi="ar"/>
              </w:rPr>
              <w:t>1.着力实施“揭榜挂帅”攻坚计划，设立“揭榜挂帅”项目榜单，对难点、重点进行突破。2.分年度制定“20重点、10突破、5改革”质量工程项目建设计划，定期跟进推进情况，全力争取国家级标志性成果。</w:t>
            </w:r>
          </w:p>
          <w:p w14:paraId="2E94BE42">
            <w:pPr>
              <w:pStyle w:val="4"/>
              <w:widowControl w:val="0"/>
              <w:shd w:val="clear" w:color="auto" w:fill="FFFFFF"/>
              <w:tabs>
                <w:tab w:val="left" w:pos="1160"/>
              </w:tabs>
              <w:spacing w:before="0" w:beforeAutospacing="0" w:after="0" w:afterAutospacing="0" w:line="240" w:lineRule="auto"/>
              <w:ind w:left="0" w:leftChars="0"/>
              <w:rPr>
                <w:rFonts w:hint="eastAsia" w:ascii="仿宋_GB2312" w:eastAsia="仿宋_GB2312" w:cs="仿宋_GB2312"/>
                <w:sz w:val="22"/>
                <w:szCs w:val="22"/>
                <w:lang w:eastAsia="zh-CN" w:bidi="ar"/>
              </w:rPr>
            </w:pPr>
            <w:r>
              <w:rPr>
                <w:rFonts w:hint="eastAsia" w:ascii="仿宋_GB2312" w:eastAsia="仿宋_GB2312" w:cs="仿宋_GB2312"/>
                <w:sz w:val="22"/>
                <w:szCs w:val="22"/>
                <w:lang w:eastAsia="zh-CN" w:bidi="ar"/>
              </w:rPr>
              <w:t>3.完善激励与考核制度，将国家级项目奖励与职称、绩效挂钩，激励教职工干事创业热情。4.构建能力提升体系，邀请专家开展项目培训，对标各国家级项目，有针对性进行指导，专项攻克难点、重点。</w:t>
            </w:r>
          </w:p>
          <w:p w14:paraId="4677ABAB">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eastAsia="仿宋_GB2312" w:cs="仿宋_GB2312"/>
                <w:sz w:val="22"/>
                <w:szCs w:val="22"/>
                <w:lang w:val="en-US" w:eastAsia="zh-CN" w:bidi="ar"/>
              </w:rPr>
              <w:t>5.完善“全校质量工程一张图”，运用信息化、数字化推进项目建设。</w:t>
            </w:r>
          </w:p>
        </w:tc>
        <w:tc>
          <w:tcPr>
            <w:tcW w:w="1350" w:type="dxa"/>
            <w:shd w:val="clear" w:color="auto" w:fill="auto"/>
            <w:noWrap w:val="0"/>
            <w:vAlign w:val="center"/>
          </w:tcPr>
          <w:p w14:paraId="6827B291">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柯金国</w:t>
            </w:r>
          </w:p>
          <w:p w14:paraId="10E1AEEB">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许冬红</w:t>
            </w:r>
          </w:p>
          <w:p w14:paraId="2513EC03">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林新钊</w:t>
            </w:r>
          </w:p>
          <w:p w14:paraId="7778A093">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陈金毓</w:t>
            </w:r>
          </w:p>
          <w:p w14:paraId="734EF6AE">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阮春高</w:t>
            </w:r>
          </w:p>
          <w:p w14:paraId="27F0B5DE">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4"/>
                <w:szCs w:val="24"/>
                <w:lang w:val="en-US" w:eastAsia="zh-CN" w:bidi="ar"/>
              </w:rPr>
              <w:t>张凡</w:t>
            </w:r>
          </w:p>
          <w:p w14:paraId="6F12DF6F">
            <w:pPr>
              <w:widowControl/>
              <w:spacing w:line="240" w:lineRule="auto"/>
              <w:jc w:val="center"/>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兰希红</w:t>
            </w:r>
          </w:p>
        </w:tc>
        <w:tc>
          <w:tcPr>
            <w:tcW w:w="1257" w:type="dxa"/>
            <w:noWrap w:val="0"/>
            <w:vAlign w:val="center"/>
          </w:tcPr>
          <w:p w14:paraId="48A19865">
            <w:pPr>
              <w:widowControl/>
              <w:spacing w:line="240" w:lineRule="auto"/>
              <w:ind w:leftChars="0"/>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质量发展处</w:t>
            </w:r>
          </w:p>
        </w:tc>
        <w:tc>
          <w:tcPr>
            <w:tcW w:w="1042" w:type="dxa"/>
            <w:noWrap w:val="0"/>
            <w:vAlign w:val="center"/>
          </w:tcPr>
          <w:p w14:paraId="3C4E9EB9">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蔡雪敏</w:t>
            </w:r>
          </w:p>
        </w:tc>
        <w:tc>
          <w:tcPr>
            <w:tcW w:w="1017" w:type="dxa"/>
            <w:noWrap w:val="0"/>
            <w:vAlign w:val="center"/>
          </w:tcPr>
          <w:p w14:paraId="2B14BAE3">
            <w:pPr>
              <w:spacing w:line="240" w:lineRule="auto"/>
              <w:ind w:leftChars="0"/>
              <w:jc w:val="both"/>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1.长久立</w:t>
            </w:r>
          </w:p>
          <w:p w14:paraId="29DBB994">
            <w:pPr>
              <w:pStyle w:val="3"/>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2.长久立</w:t>
            </w:r>
          </w:p>
          <w:p w14:paraId="49896D2C">
            <w:pPr>
              <w:pStyle w:val="3"/>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3.长久立</w:t>
            </w:r>
          </w:p>
          <w:p w14:paraId="79D374F7">
            <w:pPr>
              <w:pStyle w:val="3"/>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4.25年12月</w:t>
            </w:r>
          </w:p>
          <w:p w14:paraId="77D0DA7E">
            <w:pPr>
              <w:spacing w:line="240" w:lineRule="auto"/>
              <w:ind w:left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5.25年5月</w:t>
            </w:r>
          </w:p>
        </w:tc>
      </w:tr>
      <w:tr w14:paraId="2052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63" w:hRule="atLeast"/>
        </w:trPr>
        <w:tc>
          <w:tcPr>
            <w:tcW w:w="1088" w:type="dxa"/>
            <w:vMerge w:val="continue"/>
            <w:noWrap w:val="0"/>
            <w:vAlign w:val="center"/>
          </w:tcPr>
          <w:p w14:paraId="18594E2D">
            <w:pPr>
              <w:widowControl/>
              <w:spacing w:line="240" w:lineRule="auto"/>
              <w:ind w:leftChars="0"/>
              <w:textAlignment w:val="center"/>
              <w:rPr>
                <w:rFonts w:hint="eastAsia" w:ascii="仿宋_GB2312" w:hAnsi="仿宋_GB2312" w:eastAsia="仿宋_GB2312" w:cs="仿宋_GB2312"/>
                <w:sz w:val="24"/>
                <w:lang w:val="en-US" w:eastAsia="zh-CN"/>
              </w:rPr>
            </w:pPr>
          </w:p>
        </w:tc>
        <w:tc>
          <w:tcPr>
            <w:tcW w:w="1069" w:type="dxa"/>
            <w:vMerge w:val="restart"/>
            <w:noWrap w:val="0"/>
            <w:vAlign w:val="center"/>
          </w:tcPr>
          <w:p w14:paraId="14A0C09D">
            <w:pPr>
              <w:widowControl/>
              <w:tabs>
                <w:tab w:val="left" w:pos="1123"/>
              </w:tabs>
              <w:spacing w:line="240" w:lineRule="auto"/>
              <w:ind w:leftChars="0"/>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敢于创新的能力尚且不足</w:t>
            </w:r>
          </w:p>
        </w:tc>
        <w:tc>
          <w:tcPr>
            <w:tcW w:w="4122" w:type="dxa"/>
            <w:noWrap w:val="0"/>
            <w:vAlign w:val="center"/>
          </w:tcPr>
          <w:p w14:paraId="6AA566E0">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对新技术、新方法的应用不够积极主动，对虚拟仿真技术、信息技术与教育教学的深度融合做的还不够</w:t>
            </w:r>
          </w:p>
        </w:tc>
        <w:tc>
          <w:tcPr>
            <w:tcW w:w="4371" w:type="dxa"/>
            <w:noWrap w:val="0"/>
            <w:vAlign w:val="center"/>
          </w:tcPr>
          <w:p w14:paraId="6BA46036">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eastAsia="仿宋_GB2312" w:cs="仿宋_GB2312"/>
                <w:sz w:val="22"/>
                <w:szCs w:val="22"/>
                <w:lang w:val="en-US" w:eastAsia="zh-CN" w:bidi="ar"/>
              </w:rPr>
              <w:t>依托智慧教学平台，采集课堂出勤等数据，生成学生考勤图；在超星泛雅、智慧职教等教学平台接入深度思索等人工智能大模型，引入AI助教系统辅助课堂互动与学情分析，；加强教师对新技术、新方法的应用。与实训中心、信息中心探索构建新的教学生态，加大深度融合。</w:t>
            </w:r>
          </w:p>
        </w:tc>
        <w:tc>
          <w:tcPr>
            <w:tcW w:w="1350" w:type="dxa"/>
            <w:shd w:val="clear" w:color="auto" w:fill="auto"/>
            <w:noWrap w:val="0"/>
            <w:vAlign w:val="center"/>
          </w:tcPr>
          <w:p w14:paraId="2B432674">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柯金国</w:t>
            </w:r>
          </w:p>
          <w:p w14:paraId="4444CC76">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许冬红</w:t>
            </w:r>
          </w:p>
          <w:p w14:paraId="60CE73F0">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林新钊</w:t>
            </w:r>
          </w:p>
          <w:p w14:paraId="1AECE858">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陈金毓</w:t>
            </w:r>
          </w:p>
          <w:p w14:paraId="38CCC59D">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阮春高</w:t>
            </w:r>
          </w:p>
          <w:p w14:paraId="5603499A">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4"/>
                <w:szCs w:val="24"/>
                <w:lang w:val="en-US" w:eastAsia="zh-CN" w:bidi="ar"/>
              </w:rPr>
              <w:t>张凡</w:t>
            </w:r>
          </w:p>
          <w:p w14:paraId="22E1DAD0">
            <w:pPr>
              <w:widowControl/>
              <w:spacing w:line="240" w:lineRule="auto"/>
              <w:jc w:val="center"/>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兰希红</w:t>
            </w:r>
          </w:p>
        </w:tc>
        <w:tc>
          <w:tcPr>
            <w:tcW w:w="1257" w:type="dxa"/>
            <w:noWrap w:val="0"/>
            <w:vAlign w:val="center"/>
          </w:tcPr>
          <w:p w14:paraId="495A3A88">
            <w:pPr>
              <w:widowControl/>
              <w:spacing w:line="240" w:lineRule="auto"/>
              <w:ind w:leftChars="0"/>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教务处</w:t>
            </w:r>
          </w:p>
        </w:tc>
        <w:tc>
          <w:tcPr>
            <w:tcW w:w="1042" w:type="dxa"/>
            <w:noWrap w:val="0"/>
            <w:vAlign w:val="center"/>
          </w:tcPr>
          <w:p w14:paraId="3301014E">
            <w:pPr>
              <w:pStyle w:val="7"/>
              <w:spacing w:line="240" w:lineRule="auto"/>
              <w:ind w:leftChars="0"/>
              <w:jc w:val="center"/>
              <w:rPr>
                <w:rFonts w:hint="default" w:ascii="仿宋_GB2312" w:hAnsi="宋体" w:eastAsia="仿宋_GB2312" w:cs="仿宋_GB2312"/>
                <w:kern w:val="0"/>
                <w:sz w:val="22"/>
                <w:lang w:val="en-US" w:eastAsia="zh-CN" w:bidi="ar"/>
              </w:rPr>
            </w:pPr>
            <w:bookmarkStart w:id="0" w:name="_GoBack"/>
            <w:r>
              <w:rPr>
                <w:rFonts w:hint="eastAsia" w:ascii="仿宋_GB2312" w:hAnsi="宋体" w:eastAsia="仿宋_GB2312" w:cs="仿宋_GB2312"/>
                <w:kern w:val="0"/>
                <w:sz w:val="22"/>
                <w:lang w:val="en-US" w:eastAsia="zh-CN" w:bidi="ar"/>
              </w:rPr>
              <w:t>陈志君</w:t>
            </w:r>
            <w:bookmarkEnd w:id="0"/>
          </w:p>
        </w:tc>
        <w:tc>
          <w:tcPr>
            <w:tcW w:w="1017" w:type="dxa"/>
            <w:noWrap w:val="0"/>
            <w:vAlign w:val="center"/>
          </w:tcPr>
          <w:p w14:paraId="445B6FF1">
            <w:pPr>
              <w:spacing w:line="240" w:lineRule="auto"/>
              <w:ind w:left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长久立</w:t>
            </w:r>
          </w:p>
        </w:tc>
      </w:tr>
      <w:tr w14:paraId="4752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10" w:hRule="atLeast"/>
        </w:trPr>
        <w:tc>
          <w:tcPr>
            <w:tcW w:w="1088" w:type="dxa"/>
            <w:vMerge w:val="continue"/>
            <w:noWrap w:val="0"/>
            <w:vAlign w:val="center"/>
          </w:tcPr>
          <w:p w14:paraId="2E1981D1">
            <w:pPr>
              <w:widowControl/>
              <w:spacing w:line="240" w:lineRule="auto"/>
              <w:ind w:leftChars="0"/>
              <w:textAlignment w:val="center"/>
              <w:rPr>
                <w:rFonts w:hint="eastAsia" w:ascii="仿宋_GB2312" w:hAnsi="仿宋_GB2312" w:eastAsia="仿宋_GB2312" w:cs="仿宋_GB2312"/>
                <w:sz w:val="24"/>
                <w:lang w:val="en-US" w:eastAsia="zh-CN"/>
              </w:rPr>
            </w:pPr>
          </w:p>
        </w:tc>
        <w:tc>
          <w:tcPr>
            <w:tcW w:w="1069" w:type="dxa"/>
            <w:vMerge w:val="continue"/>
            <w:noWrap w:val="0"/>
            <w:vAlign w:val="center"/>
          </w:tcPr>
          <w:p w14:paraId="2A10F09F">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4122" w:type="dxa"/>
            <w:noWrap w:val="0"/>
            <w:vAlign w:val="center"/>
          </w:tcPr>
          <w:p w14:paraId="25E5D828">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在科研创新上，激励机制还有待完善，教师和科研人员进行创新探索的积极性不高，难以支撑前沿性、开创性的科研项目开展</w:t>
            </w:r>
          </w:p>
        </w:tc>
        <w:tc>
          <w:tcPr>
            <w:tcW w:w="4371" w:type="dxa"/>
            <w:noWrap w:val="0"/>
            <w:vAlign w:val="center"/>
          </w:tcPr>
          <w:p w14:paraId="58634B89">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hAnsi="宋体" w:eastAsia="仿宋_GB2312" w:cs="仿宋_GB2312"/>
                <w:sz w:val="22"/>
                <w:szCs w:val="22"/>
                <w:lang w:val="en-US" w:eastAsia="zh-CN" w:bidi="ar"/>
              </w:rPr>
              <w:t>做好激励配套，强化评价结果运用。修订《科研绩效业绩奖励管理办法》，坚持物质奖励与精神奖励相结合；修订《纵向科研项目经费管理办法》，提高科研人员积极性主动性</w:t>
            </w:r>
          </w:p>
        </w:tc>
        <w:tc>
          <w:tcPr>
            <w:tcW w:w="1350" w:type="dxa"/>
            <w:shd w:val="clear" w:color="auto" w:fill="auto"/>
            <w:noWrap w:val="0"/>
            <w:vAlign w:val="center"/>
          </w:tcPr>
          <w:p w14:paraId="3D1595BA">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柯金国</w:t>
            </w:r>
          </w:p>
          <w:p w14:paraId="77CCD45A">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许冬红</w:t>
            </w:r>
          </w:p>
          <w:p w14:paraId="79258F7E">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林新钊</w:t>
            </w:r>
          </w:p>
          <w:p w14:paraId="69FFC288">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陈金毓</w:t>
            </w:r>
          </w:p>
          <w:p w14:paraId="23096BAF">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阮春高</w:t>
            </w:r>
          </w:p>
          <w:p w14:paraId="6ABEEF46">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4"/>
                <w:szCs w:val="24"/>
                <w:lang w:val="en-US" w:eastAsia="zh-CN" w:bidi="ar"/>
              </w:rPr>
              <w:t>张凡</w:t>
            </w:r>
          </w:p>
          <w:p w14:paraId="0A89578F">
            <w:pPr>
              <w:widowControl/>
              <w:spacing w:line="240" w:lineRule="auto"/>
              <w:jc w:val="center"/>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兰希红</w:t>
            </w:r>
          </w:p>
        </w:tc>
        <w:tc>
          <w:tcPr>
            <w:tcW w:w="1257" w:type="dxa"/>
            <w:noWrap w:val="0"/>
            <w:vAlign w:val="center"/>
          </w:tcPr>
          <w:p w14:paraId="3A4AF0CE">
            <w:pPr>
              <w:widowControl/>
              <w:spacing w:line="240" w:lineRule="auto"/>
              <w:ind w:leftChars="0"/>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产学研交流合作处</w:t>
            </w:r>
          </w:p>
        </w:tc>
        <w:tc>
          <w:tcPr>
            <w:tcW w:w="1042" w:type="dxa"/>
            <w:noWrap w:val="0"/>
            <w:vAlign w:val="center"/>
          </w:tcPr>
          <w:p w14:paraId="368238E6">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林志谦</w:t>
            </w:r>
          </w:p>
        </w:tc>
        <w:tc>
          <w:tcPr>
            <w:tcW w:w="1017" w:type="dxa"/>
            <w:noWrap w:val="0"/>
            <w:vAlign w:val="center"/>
          </w:tcPr>
          <w:p w14:paraId="14377230">
            <w:pPr>
              <w:spacing w:line="240" w:lineRule="auto"/>
              <w:ind w:left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2025.12.31</w:t>
            </w:r>
          </w:p>
        </w:tc>
      </w:tr>
      <w:tr w14:paraId="3F56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19" w:hRule="atLeast"/>
        </w:trPr>
        <w:tc>
          <w:tcPr>
            <w:tcW w:w="1088" w:type="dxa"/>
            <w:vMerge w:val="continue"/>
            <w:noWrap w:val="0"/>
            <w:vAlign w:val="center"/>
          </w:tcPr>
          <w:p w14:paraId="44EDD762">
            <w:pPr>
              <w:widowControl/>
              <w:spacing w:line="240" w:lineRule="auto"/>
              <w:ind w:leftChars="0"/>
              <w:textAlignment w:val="center"/>
              <w:rPr>
                <w:rFonts w:hint="eastAsia" w:ascii="仿宋_GB2312" w:hAnsi="仿宋_GB2312" w:eastAsia="仿宋_GB2312" w:cs="仿宋_GB2312"/>
                <w:sz w:val="24"/>
                <w:lang w:val="en-US" w:eastAsia="zh-CN"/>
              </w:rPr>
            </w:pPr>
          </w:p>
        </w:tc>
        <w:tc>
          <w:tcPr>
            <w:tcW w:w="1069" w:type="dxa"/>
            <w:vMerge w:val="restart"/>
            <w:noWrap w:val="0"/>
            <w:vAlign w:val="center"/>
          </w:tcPr>
          <w:p w14:paraId="409D7D98">
            <w:pPr>
              <w:widowControl/>
              <w:tabs>
                <w:tab w:val="left" w:pos="1123"/>
              </w:tabs>
              <w:spacing w:line="240" w:lineRule="auto"/>
              <w:ind w:leftChars="0"/>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防范风险的意识有待提高</w:t>
            </w:r>
          </w:p>
        </w:tc>
        <w:tc>
          <w:tcPr>
            <w:tcW w:w="4122" w:type="dxa"/>
            <w:noWrap w:val="0"/>
            <w:vAlign w:val="center"/>
          </w:tcPr>
          <w:p w14:paraId="0B98F4CB">
            <w:pPr>
              <w:widowControl/>
              <w:tabs>
                <w:tab w:val="left" w:pos="1123"/>
              </w:tabs>
              <w:spacing w:line="240" w:lineRule="auto"/>
              <w:ind w:leftChars="0"/>
              <w:textAlignment w:val="center"/>
              <w:rPr>
                <w:rFonts w:hint="eastAsia" w:ascii="仿宋_GB2312" w:hAnsi="宋体" w:eastAsia="仿宋_GB2312" w:cs="仿宋_GB2312"/>
                <w:b w:val="0"/>
                <w:bCs w:val="0"/>
                <w:kern w:val="0"/>
                <w:sz w:val="22"/>
                <w:szCs w:val="22"/>
                <w:lang w:val="en-US" w:eastAsia="zh-CN" w:bidi="ar"/>
              </w:rPr>
            </w:pPr>
            <w:r>
              <w:rPr>
                <w:rFonts w:hint="eastAsia" w:ascii="仿宋_GB2312" w:hAnsi="宋体" w:eastAsia="仿宋_GB2312" w:cs="仿宋_GB2312"/>
                <w:b w:val="0"/>
                <w:bCs w:val="0"/>
                <w:kern w:val="0"/>
                <w:sz w:val="22"/>
                <w:szCs w:val="22"/>
                <w:lang w:val="en-US" w:eastAsia="zh-CN" w:bidi="ar"/>
              </w:rPr>
              <w:t>虽然建立了一些廉洁风险防控机制，但在一些项目招投标、物资采购等方面的关键领域和环节，监督还不够到位，存在一定的风险隐患</w:t>
            </w:r>
          </w:p>
        </w:tc>
        <w:tc>
          <w:tcPr>
            <w:tcW w:w="4371" w:type="dxa"/>
            <w:noWrap w:val="0"/>
            <w:vAlign w:val="center"/>
          </w:tcPr>
          <w:p w14:paraId="5FC7E30B">
            <w:pPr>
              <w:pStyle w:val="4"/>
              <w:widowControl w:val="0"/>
              <w:numPr>
                <w:ilvl w:val="0"/>
                <w:numId w:val="0"/>
              </w:numPr>
              <w:shd w:val="clear" w:color="auto" w:fill="FFFFFF"/>
              <w:tabs>
                <w:tab w:val="left" w:pos="1160"/>
              </w:tabs>
              <w:spacing w:before="0" w:beforeAutospacing="0" w:after="0" w:afterAutospacing="0" w:line="240" w:lineRule="auto"/>
              <w:rPr>
                <w:rFonts w:hint="eastAsia" w:ascii="仿宋_GB2312" w:hAnsi="宋体" w:eastAsia="仿宋_GB2312" w:cs="仿宋_GB2312"/>
                <w:b w:val="0"/>
                <w:bCs w:val="0"/>
                <w:sz w:val="22"/>
                <w:szCs w:val="22"/>
                <w:lang w:val="en-US" w:eastAsia="zh-CN" w:bidi="ar"/>
              </w:rPr>
            </w:pPr>
            <w:r>
              <w:rPr>
                <w:rFonts w:hint="eastAsia" w:ascii="仿宋_GB2312" w:hAnsi="宋体" w:eastAsia="仿宋_GB2312" w:cs="仿宋_GB2312"/>
                <w:b w:val="0"/>
                <w:bCs w:val="0"/>
                <w:sz w:val="22"/>
                <w:szCs w:val="22"/>
                <w:lang w:val="en-US" w:eastAsia="zh-CN" w:bidi="ar"/>
              </w:rPr>
              <w:t>1.</w:t>
            </w:r>
            <w:r>
              <w:rPr>
                <w:rFonts w:hint="eastAsia" w:ascii="仿宋_GB2312" w:eastAsia="仿宋_GB2312" w:cs="仿宋_GB2312"/>
                <w:b w:val="0"/>
                <w:bCs w:val="0"/>
                <w:sz w:val="22"/>
                <w:szCs w:val="22"/>
                <w:lang w:val="en-US" w:eastAsia="zh-CN" w:bidi="ar"/>
              </w:rPr>
              <w:t>进一步</w:t>
            </w:r>
            <w:r>
              <w:rPr>
                <w:rFonts w:hint="eastAsia" w:ascii="仿宋_GB2312" w:hAnsi="宋体" w:eastAsia="仿宋_GB2312" w:cs="仿宋_GB2312"/>
                <w:b w:val="0"/>
                <w:bCs w:val="0"/>
                <w:sz w:val="22"/>
                <w:szCs w:val="22"/>
                <w:lang w:val="en-US" w:eastAsia="zh-CN" w:bidi="ar"/>
              </w:rPr>
              <w:t>健全</w:t>
            </w:r>
            <w:r>
              <w:rPr>
                <w:rFonts w:hint="eastAsia" w:ascii="仿宋_GB2312" w:eastAsia="仿宋_GB2312" w:cs="仿宋_GB2312"/>
                <w:b w:val="0"/>
                <w:bCs w:val="0"/>
                <w:sz w:val="22"/>
                <w:szCs w:val="22"/>
                <w:lang w:val="en-US" w:eastAsia="zh-CN" w:bidi="ar"/>
              </w:rPr>
              <w:t>完善</w:t>
            </w:r>
            <w:r>
              <w:rPr>
                <w:rFonts w:hint="eastAsia" w:ascii="仿宋_GB2312" w:hAnsi="宋体" w:eastAsia="仿宋_GB2312" w:cs="仿宋_GB2312"/>
                <w:b w:val="0"/>
                <w:bCs w:val="0"/>
                <w:sz w:val="22"/>
                <w:szCs w:val="22"/>
                <w:lang w:val="en-US" w:eastAsia="zh-CN" w:bidi="ar"/>
              </w:rPr>
              <w:t>廉政风险防控体系。聚焦腐败现象易发的关键领域和环节，组织院内各单位及各中专校全面深入排查廉政风险点，制定廉政风险点防控措施，严格落实廉政风险防控责任。</w:t>
            </w:r>
          </w:p>
          <w:p w14:paraId="0FB992F3">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b w:val="0"/>
                <w:bCs w:val="0"/>
                <w:sz w:val="22"/>
                <w:szCs w:val="22"/>
                <w:lang w:eastAsia="zh-CN" w:bidi="ar"/>
              </w:rPr>
            </w:pPr>
            <w:r>
              <w:rPr>
                <w:rFonts w:hint="eastAsia" w:ascii="仿宋_GB2312" w:eastAsia="仿宋_GB2312" w:cs="仿宋_GB2312"/>
                <w:b w:val="0"/>
                <w:bCs w:val="0"/>
                <w:sz w:val="22"/>
                <w:szCs w:val="22"/>
                <w:lang w:val="en-US" w:eastAsia="zh-CN" w:bidi="ar"/>
              </w:rPr>
              <w:t>2.加强专项监督，规范工作流程。</w:t>
            </w:r>
            <w:r>
              <w:rPr>
                <w:rFonts w:hint="eastAsia" w:ascii="仿宋_GB2312" w:hAnsi="宋体" w:eastAsia="仿宋_GB2312" w:cs="仿宋_GB2312"/>
                <w:b w:val="0"/>
                <w:bCs w:val="0"/>
                <w:sz w:val="22"/>
                <w:szCs w:val="22"/>
                <w:lang w:val="en-US" w:eastAsia="zh-CN" w:bidi="ar"/>
              </w:rPr>
              <w:t>在招投标及物资采购方面，加强与审计、财务、后勤等职能部门的沟通协调，开展审计移送问题整改情况的“回头看”，</w:t>
            </w:r>
            <w:r>
              <w:rPr>
                <w:rFonts w:hint="eastAsia" w:ascii="仿宋_GB2312" w:eastAsia="仿宋_GB2312" w:cs="仿宋_GB2312"/>
                <w:b w:val="0"/>
                <w:bCs w:val="0"/>
                <w:sz w:val="22"/>
                <w:szCs w:val="22"/>
                <w:lang w:val="en-US" w:eastAsia="zh-CN" w:bidi="ar"/>
              </w:rPr>
              <w:t>加强对实训设备使用率等方面的监督检查，</w:t>
            </w:r>
            <w:r>
              <w:rPr>
                <w:rFonts w:hint="eastAsia" w:ascii="仿宋_GB2312" w:hAnsi="宋体" w:eastAsia="仿宋_GB2312" w:cs="仿宋_GB2312"/>
                <w:b w:val="0"/>
                <w:bCs w:val="0"/>
                <w:sz w:val="22"/>
                <w:szCs w:val="22"/>
                <w:lang w:val="en-US" w:eastAsia="zh-CN" w:bidi="ar"/>
              </w:rPr>
              <w:t>强化关键岗位、重点领域的监督检查，规范工作流程，提升管理透明度。</w:t>
            </w:r>
          </w:p>
        </w:tc>
        <w:tc>
          <w:tcPr>
            <w:tcW w:w="1350" w:type="dxa"/>
            <w:shd w:val="clear" w:color="auto" w:fill="auto"/>
            <w:noWrap w:val="0"/>
            <w:vAlign w:val="center"/>
          </w:tcPr>
          <w:p w14:paraId="1A88E671">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柯金国</w:t>
            </w:r>
          </w:p>
          <w:p w14:paraId="71DF4CA9">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许冬红</w:t>
            </w:r>
          </w:p>
          <w:p w14:paraId="365FF674">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林新钊</w:t>
            </w:r>
          </w:p>
          <w:p w14:paraId="0C689F59">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陈金毓</w:t>
            </w:r>
          </w:p>
          <w:p w14:paraId="5C8A381F">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阮春高</w:t>
            </w:r>
          </w:p>
          <w:p w14:paraId="6F9F40AF">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4"/>
                <w:szCs w:val="24"/>
                <w:lang w:val="en-US" w:eastAsia="zh-CN" w:bidi="ar"/>
              </w:rPr>
              <w:t>张凡</w:t>
            </w:r>
          </w:p>
          <w:p w14:paraId="2BF4165A">
            <w:pPr>
              <w:widowControl/>
              <w:spacing w:line="240" w:lineRule="auto"/>
              <w:jc w:val="center"/>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兰希红</w:t>
            </w:r>
          </w:p>
        </w:tc>
        <w:tc>
          <w:tcPr>
            <w:tcW w:w="1257" w:type="dxa"/>
            <w:noWrap w:val="0"/>
            <w:vAlign w:val="center"/>
          </w:tcPr>
          <w:p w14:paraId="3D7DC061">
            <w:pPr>
              <w:widowControl/>
              <w:spacing w:line="240" w:lineRule="auto"/>
              <w:ind w:leftChars="0"/>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纪委办</w:t>
            </w:r>
          </w:p>
        </w:tc>
        <w:tc>
          <w:tcPr>
            <w:tcW w:w="1042" w:type="dxa"/>
            <w:noWrap w:val="0"/>
            <w:vAlign w:val="center"/>
          </w:tcPr>
          <w:p w14:paraId="5C83B9BB">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郑志鹏</w:t>
            </w:r>
          </w:p>
        </w:tc>
        <w:tc>
          <w:tcPr>
            <w:tcW w:w="1017" w:type="dxa"/>
            <w:noWrap w:val="0"/>
            <w:vAlign w:val="center"/>
          </w:tcPr>
          <w:p w14:paraId="0CCFD0A5">
            <w:pPr>
              <w:spacing w:line="240" w:lineRule="auto"/>
              <w:ind w:left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今年年底并长久立</w:t>
            </w:r>
          </w:p>
        </w:tc>
      </w:tr>
      <w:tr w14:paraId="7538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80" w:hRule="atLeast"/>
        </w:trPr>
        <w:tc>
          <w:tcPr>
            <w:tcW w:w="1088" w:type="dxa"/>
            <w:vMerge w:val="continue"/>
            <w:noWrap w:val="0"/>
            <w:vAlign w:val="center"/>
          </w:tcPr>
          <w:p w14:paraId="66B4D699">
            <w:pPr>
              <w:widowControl/>
              <w:spacing w:line="240" w:lineRule="auto"/>
              <w:ind w:leftChars="0"/>
              <w:textAlignment w:val="center"/>
              <w:rPr>
                <w:rFonts w:hint="eastAsia" w:ascii="仿宋_GB2312" w:hAnsi="仿宋_GB2312" w:eastAsia="仿宋_GB2312" w:cs="仿宋_GB2312"/>
                <w:sz w:val="24"/>
                <w:lang w:val="en-US" w:eastAsia="zh-CN"/>
              </w:rPr>
            </w:pPr>
          </w:p>
        </w:tc>
        <w:tc>
          <w:tcPr>
            <w:tcW w:w="1069" w:type="dxa"/>
            <w:vMerge w:val="continue"/>
            <w:noWrap w:val="0"/>
            <w:vAlign w:val="center"/>
          </w:tcPr>
          <w:p w14:paraId="3F768F10">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4122" w:type="dxa"/>
            <w:vMerge w:val="restart"/>
            <w:noWrap w:val="0"/>
            <w:vAlign w:val="center"/>
          </w:tcPr>
          <w:p w14:paraId="3042AC65">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color w:val="auto"/>
                <w:kern w:val="0"/>
                <w:sz w:val="22"/>
                <w:szCs w:val="22"/>
                <w:lang w:val="en-US" w:eastAsia="zh-CN" w:bidi="ar"/>
              </w:rPr>
              <w:t>校园安全方面，对学生的安全教育引导还不够，学生心理健康问题依然存在等</w:t>
            </w:r>
          </w:p>
        </w:tc>
        <w:tc>
          <w:tcPr>
            <w:tcW w:w="4371" w:type="dxa"/>
            <w:noWrap w:val="0"/>
            <w:vAlign w:val="center"/>
          </w:tcPr>
          <w:p w14:paraId="0A32F79C">
            <w:pPr>
              <w:pStyle w:val="4"/>
              <w:widowControl w:val="0"/>
              <w:shd w:val="clear" w:color="auto" w:fill="FFFFFF"/>
              <w:tabs>
                <w:tab w:val="left" w:pos="1160"/>
              </w:tabs>
              <w:spacing w:before="0" w:beforeAutospacing="0" w:after="0" w:afterAutospacing="0" w:line="240" w:lineRule="auto"/>
              <w:ind w:leftChars="0"/>
              <w:rPr>
                <w:rFonts w:hint="default" w:ascii="仿宋_GB2312" w:eastAsia="仿宋_GB2312" w:cs="仿宋_GB2312"/>
                <w:color w:val="auto"/>
                <w:sz w:val="22"/>
                <w:szCs w:val="22"/>
                <w:lang w:val="en-US" w:eastAsia="zh-CN" w:bidi="ar"/>
              </w:rPr>
            </w:pPr>
            <w:r>
              <w:rPr>
                <w:rFonts w:hint="eastAsia" w:ascii="仿宋_GB2312" w:eastAsia="仿宋_GB2312" w:cs="仿宋_GB2312"/>
                <w:color w:val="auto"/>
                <w:sz w:val="22"/>
                <w:szCs w:val="22"/>
                <w:lang w:val="en-US" w:eastAsia="zh-CN" w:bidi="ar"/>
              </w:rPr>
              <w:t>1.</w:t>
            </w:r>
            <w:r>
              <w:rPr>
                <w:rFonts w:hint="default" w:ascii="仿宋_GB2312" w:eastAsia="仿宋_GB2312" w:cs="仿宋_GB2312"/>
                <w:color w:val="auto"/>
                <w:sz w:val="22"/>
                <w:szCs w:val="22"/>
                <w:lang w:val="en-US" w:eastAsia="zh-CN" w:bidi="ar"/>
              </w:rPr>
              <w:t>强化新生入学教育：在新生入学这一关键时期，开展系统性的安全与心理健康知识教育活动，帮助新生快速适应校园环境，筑牢安全与心理健康的基石。</w:t>
            </w:r>
          </w:p>
          <w:p w14:paraId="36D394B9">
            <w:pPr>
              <w:pStyle w:val="4"/>
              <w:widowControl w:val="0"/>
              <w:shd w:val="clear" w:color="auto" w:fill="FFFFFF"/>
              <w:tabs>
                <w:tab w:val="left" w:pos="1160"/>
              </w:tabs>
              <w:spacing w:before="0" w:beforeAutospacing="0" w:after="0" w:afterAutospacing="0" w:line="240" w:lineRule="auto"/>
              <w:ind w:leftChars="0"/>
              <w:rPr>
                <w:rFonts w:hint="default" w:ascii="仿宋_GB2312" w:eastAsia="仿宋_GB2312" w:cs="仿宋_GB2312"/>
                <w:color w:val="auto"/>
                <w:sz w:val="22"/>
                <w:szCs w:val="22"/>
                <w:lang w:val="en-US" w:eastAsia="zh-CN" w:bidi="ar"/>
              </w:rPr>
            </w:pPr>
            <w:r>
              <w:rPr>
                <w:rFonts w:hint="eastAsia" w:ascii="仿宋_GB2312" w:eastAsia="仿宋_GB2312" w:cs="仿宋_GB2312"/>
                <w:color w:val="auto"/>
                <w:sz w:val="22"/>
                <w:szCs w:val="22"/>
                <w:lang w:val="en-US" w:eastAsia="zh-CN" w:bidi="ar"/>
              </w:rPr>
              <w:t>2.</w:t>
            </w:r>
            <w:r>
              <w:rPr>
                <w:rFonts w:hint="default" w:ascii="仿宋_GB2312" w:eastAsia="仿宋_GB2312" w:cs="仿宋_GB2312"/>
                <w:color w:val="auto"/>
                <w:sz w:val="22"/>
                <w:szCs w:val="22"/>
                <w:lang w:val="en-US" w:eastAsia="zh-CN" w:bidi="ar"/>
              </w:rPr>
              <w:t>深化日常主题教育：依据每学期既定的主题教育计划，灵活运用主题班会、主题活动等形式，将安全与心理健康知识融入日常教学中，做到常抓不懈。</w:t>
            </w:r>
          </w:p>
          <w:p w14:paraId="4B7A7521">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color w:val="auto"/>
                <w:sz w:val="22"/>
                <w:szCs w:val="22"/>
                <w:lang w:val="en-US" w:eastAsia="zh-CN" w:bidi="ar"/>
              </w:rPr>
            </w:pPr>
            <w:r>
              <w:rPr>
                <w:rFonts w:hint="eastAsia" w:ascii="仿宋_GB2312" w:eastAsia="仿宋_GB2312" w:cs="仿宋_GB2312"/>
                <w:color w:val="auto"/>
                <w:sz w:val="22"/>
                <w:szCs w:val="22"/>
                <w:lang w:val="en-US" w:eastAsia="zh-CN" w:bidi="ar"/>
              </w:rPr>
              <w:t>3.（1）完善师资队伍建设：严格依照标准，足额配备专职心理教师，保障专兼职心理咨询师能持续为学生提供专业、高效的心理咨询服务。（2）发挥院系主观能动性：各院系定期策划并举办形式多样的心理健康教育活动，如主题班会、心理拓展训练等，助力学生识别、应对心理问题，全方位提升心理素质。（3）强化家校合作：定期组织家长会和心理健康讲座，搭建家校沟通桥梁，共同关注学生成长，形成家校共育的强大合力。（4）提升教师专业素养：开展常态化、系统化的专业培训，全面提升心理健康教师的业务能力，切实保障心理辅导服务的质量与效果。</w:t>
            </w:r>
          </w:p>
          <w:p w14:paraId="11EC4580">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p>
        </w:tc>
        <w:tc>
          <w:tcPr>
            <w:tcW w:w="1350" w:type="dxa"/>
            <w:vMerge w:val="restart"/>
            <w:shd w:val="clear" w:color="auto" w:fill="auto"/>
            <w:noWrap w:val="0"/>
            <w:vAlign w:val="center"/>
          </w:tcPr>
          <w:p w14:paraId="3A0450AA">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柯金国</w:t>
            </w:r>
          </w:p>
          <w:p w14:paraId="7C7B5960">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许冬红</w:t>
            </w:r>
          </w:p>
          <w:p w14:paraId="30F1D9FA">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林新钊</w:t>
            </w:r>
          </w:p>
          <w:p w14:paraId="68DABBB2">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陈金毓</w:t>
            </w:r>
          </w:p>
          <w:p w14:paraId="17E4DA66">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阮春高</w:t>
            </w:r>
          </w:p>
          <w:p w14:paraId="37DC8975">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4"/>
                <w:szCs w:val="24"/>
                <w:lang w:val="en-US" w:eastAsia="zh-CN" w:bidi="ar"/>
              </w:rPr>
              <w:t>张凡</w:t>
            </w:r>
          </w:p>
          <w:p w14:paraId="567B56C2">
            <w:pPr>
              <w:widowControl/>
              <w:spacing w:line="240" w:lineRule="auto"/>
              <w:jc w:val="center"/>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兰希红</w:t>
            </w:r>
          </w:p>
        </w:tc>
        <w:tc>
          <w:tcPr>
            <w:tcW w:w="1257" w:type="dxa"/>
            <w:noWrap w:val="0"/>
            <w:vAlign w:val="center"/>
          </w:tcPr>
          <w:p w14:paraId="0BCBB5C7">
            <w:pPr>
              <w:widowControl/>
              <w:spacing w:line="240" w:lineRule="auto"/>
              <w:ind w:leftChars="0"/>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学工处</w:t>
            </w:r>
          </w:p>
        </w:tc>
        <w:tc>
          <w:tcPr>
            <w:tcW w:w="1042" w:type="dxa"/>
            <w:noWrap w:val="0"/>
            <w:vAlign w:val="center"/>
          </w:tcPr>
          <w:p w14:paraId="7A66E176">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蔡国民</w:t>
            </w:r>
          </w:p>
        </w:tc>
        <w:tc>
          <w:tcPr>
            <w:tcW w:w="1017" w:type="dxa"/>
            <w:noWrap w:val="0"/>
            <w:vAlign w:val="center"/>
          </w:tcPr>
          <w:p w14:paraId="7E5A5A62">
            <w:pPr>
              <w:spacing w:line="240" w:lineRule="auto"/>
              <w:ind w:left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2025.12.31</w:t>
            </w:r>
          </w:p>
        </w:tc>
      </w:tr>
      <w:tr w14:paraId="4ABD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trPr>
        <w:tc>
          <w:tcPr>
            <w:tcW w:w="1088" w:type="dxa"/>
            <w:vMerge w:val="continue"/>
            <w:noWrap w:val="0"/>
            <w:vAlign w:val="center"/>
          </w:tcPr>
          <w:p w14:paraId="382001B0">
            <w:pPr>
              <w:widowControl/>
              <w:spacing w:line="240" w:lineRule="auto"/>
              <w:ind w:leftChars="0"/>
              <w:textAlignment w:val="center"/>
              <w:rPr>
                <w:rFonts w:hint="eastAsia" w:ascii="仿宋_GB2312" w:hAnsi="仿宋_GB2312" w:eastAsia="仿宋_GB2312" w:cs="仿宋_GB2312"/>
                <w:sz w:val="24"/>
                <w:lang w:val="en-US" w:eastAsia="zh-CN"/>
              </w:rPr>
            </w:pPr>
          </w:p>
        </w:tc>
        <w:tc>
          <w:tcPr>
            <w:tcW w:w="1069" w:type="dxa"/>
            <w:vMerge w:val="continue"/>
            <w:noWrap w:val="0"/>
            <w:vAlign w:val="center"/>
          </w:tcPr>
          <w:p w14:paraId="6087AEBA">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4122" w:type="dxa"/>
            <w:vMerge w:val="continue"/>
            <w:noWrap w:val="0"/>
            <w:vAlign w:val="center"/>
          </w:tcPr>
          <w:p w14:paraId="18CA3912">
            <w:pPr>
              <w:widowControl/>
              <w:tabs>
                <w:tab w:val="left" w:pos="1123"/>
              </w:tabs>
              <w:spacing w:line="240" w:lineRule="auto"/>
              <w:ind w:leftChars="0"/>
              <w:textAlignment w:val="center"/>
              <w:rPr>
                <w:rFonts w:hint="eastAsia" w:ascii="仿宋_GB2312" w:hAnsi="宋体" w:eastAsia="仿宋_GB2312" w:cs="仿宋_GB2312"/>
                <w:color w:val="auto"/>
                <w:kern w:val="0"/>
                <w:sz w:val="22"/>
                <w:szCs w:val="22"/>
                <w:lang w:val="en-US" w:eastAsia="zh-CN" w:bidi="ar"/>
              </w:rPr>
            </w:pPr>
          </w:p>
        </w:tc>
        <w:tc>
          <w:tcPr>
            <w:tcW w:w="4371" w:type="dxa"/>
            <w:noWrap w:val="0"/>
            <w:vAlign w:val="center"/>
          </w:tcPr>
          <w:p w14:paraId="3D3BB84D">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eastAsia="仿宋_GB2312" w:cs="仿宋_GB2312"/>
                <w:sz w:val="22"/>
                <w:szCs w:val="22"/>
                <w:lang w:eastAsia="zh-CN" w:bidi="ar"/>
              </w:rPr>
              <w:t>一是加强安全教育落实情况督导，把安全教育（应急培训演练）开展情况纳入绩效考核，对各系开展安全教育情况进行督导。</w:t>
            </w:r>
          </w:p>
          <w:p w14:paraId="0CDC0DD8">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eastAsia="仿宋_GB2312" w:cs="仿宋_GB2312"/>
                <w:sz w:val="22"/>
                <w:szCs w:val="22"/>
                <w:lang w:eastAsia="zh-CN" w:bidi="ar"/>
              </w:rPr>
              <w:t>二是进一步提升《大学生安全教育课》课程教学质量，按照《湄洲湾职业技术学院在线开放课程教学管理办法》、《湄洲湾职业技术学院教学管理工作规程》等文件规定，加强与质量发展处、教务处、人事处等职能部门的协作，引入课堂监督机制，做好课堂教学跟踪，提升老师责任意识，确保课堂思政落到实处，提高学生安全综合能力和素质，助力平安校园建设。</w:t>
            </w:r>
          </w:p>
        </w:tc>
        <w:tc>
          <w:tcPr>
            <w:tcW w:w="1350" w:type="dxa"/>
            <w:vMerge w:val="continue"/>
            <w:shd w:val="clear" w:color="auto" w:fill="auto"/>
            <w:noWrap w:val="0"/>
            <w:vAlign w:val="center"/>
          </w:tcPr>
          <w:p w14:paraId="4D9BCBDF">
            <w:pPr>
              <w:widowControl/>
              <w:spacing w:line="240" w:lineRule="auto"/>
              <w:jc w:val="center"/>
              <w:textAlignment w:val="center"/>
              <w:rPr>
                <w:rFonts w:hint="eastAsia" w:ascii="仿宋_GB2312" w:hAnsi="宋体" w:eastAsia="仿宋_GB2312" w:cs="仿宋_GB2312"/>
                <w:kern w:val="0"/>
                <w:sz w:val="22"/>
                <w:szCs w:val="22"/>
                <w:lang w:val="en-US" w:eastAsia="zh-CN" w:bidi="ar"/>
              </w:rPr>
            </w:pPr>
          </w:p>
        </w:tc>
        <w:tc>
          <w:tcPr>
            <w:tcW w:w="1257" w:type="dxa"/>
            <w:noWrap w:val="0"/>
            <w:vAlign w:val="center"/>
          </w:tcPr>
          <w:p w14:paraId="5CF6A855">
            <w:pPr>
              <w:widowControl/>
              <w:spacing w:line="240" w:lineRule="auto"/>
              <w:ind w:leftChars="0"/>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安全保卫处</w:t>
            </w:r>
          </w:p>
        </w:tc>
        <w:tc>
          <w:tcPr>
            <w:tcW w:w="1042" w:type="dxa"/>
            <w:noWrap w:val="0"/>
            <w:vAlign w:val="center"/>
          </w:tcPr>
          <w:p w14:paraId="3E58DF65">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蔡明雄</w:t>
            </w:r>
          </w:p>
        </w:tc>
        <w:tc>
          <w:tcPr>
            <w:tcW w:w="1017" w:type="dxa"/>
            <w:noWrap w:val="0"/>
            <w:vAlign w:val="center"/>
          </w:tcPr>
          <w:p w14:paraId="7C2A9CB3">
            <w:pPr>
              <w:spacing w:line="240" w:lineRule="auto"/>
              <w:ind w:lef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长久立</w:t>
            </w:r>
          </w:p>
        </w:tc>
      </w:tr>
      <w:tr w14:paraId="1E79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91" w:hRule="atLeast"/>
        </w:trPr>
        <w:tc>
          <w:tcPr>
            <w:tcW w:w="1088" w:type="dxa"/>
            <w:vMerge w:val="restart"/>
            <w:noWrap w:val="0"/>
            <w:vAlign w:val="center"/>
          </w:tcPr>
          <w:p w14:paraId="31D61235">
            <w:pPr>
              <w:widowControl/>
              <w:spacing w:line="240" w:lineRule="auto"/>
              <w:ind w:leftChars="0"/>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4.带头履行全面从严治党政治责任方面</w:t>
            </w:r>
          </w:p>
        </w:tc>
        <w:tc>
          <w:tcPr>
            <w:tcW w:w="1069" w:type="dxa"/>
            <w:noWrap w:val="0"/>
            <w:vAlign w:val="center"/>
          </w:tcPr>
          <w:p w14:paraId="3CD0BB4E">
            <w:pPr>
              <w:widowControl/>
              <w:tabs>
                <w:tab w:val="left" w:pos="1123"/>
              </w:tabs>
              <w:spacing w:line="240" w:lineRule="auto"/>
              <w:ind w:leftChars="0"/>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全面从严治党责任需进一步压实</w:t>
            </w:r>
          </w:p>
        </w:tc>
        <w:tc>
          <w:tcPr>
            <w:tcW w:w="4122" w:type="dxa"/>
            <w:noWrap w:val="0"/>
            <w:vAlign w:val="center"/>
          </w:tcPr>
          <w:p w14:paraId="7BB1C330">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班子成员在指导、督促分管部门和挂钩单位落实全面从严治党的具体措施、完善制度、强化风险防控等工作做得不够到位，落实“一岗双责”还有待加强，比如，对党建、党风廉政建设等工作的部署多而跟踪督促少，下基层指导检查力度不足</w:t>
            </w:r>
          </w:p>
        </w:tc>
        <w:tc>
          <w:tcPr>
            <w:tcW w:w="4371" w:type="dxa"/>
            <w:noWrap w:val="0"/>
            <w:vAlign w:val="center"/>
          </w:tcPr>
          <w:p w14:paraId="64B05F57">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val="en-US" w:eastAsia="zh-CN" w:bidi="ar"/>
              </w:rPr>
            </w:pPr>
            <w:r>
              <w:rPr>
                <w:rFonts w:hint="eastAsia" w:ascii="仿宋_GB2312" w:eastAsia="仿宋_GB2312" w:cs="仿宋_GB2312"/>
                <w:sz w:val="22"/>
                <w:szCs w:val="22"/>
                <w:lang w:val="en-US" w:eastAsia="zh-CN" w:bidi="ar"/>
              </w:rPr>
              <w:t>1.强化责任意识。召开党委会研究全面从严治党工作，压实班子成员“一岗双责”责任。</w:t>
            </w:r>
          </w:p>
          <w:p w14:paraId="63D67678">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eastAsia="仿宋_GB2312" w:cs="仿宋_GB2312"/>
                <w:sz w:val="22"/>
                <w:szCs w:val="22"/>
                <w:lang w:val="en-US" w:eastAsia="zh-CN" w:bidi="ar"/>
              </w:rPr>
              <w:t>2.加强基层调研指导。要求班子成员深入分管部门和挂钩单位开展实地调研指导，主动了解基层在落实全面从严治党工作中的实际困难和需求，倾听一线干部职工的意见和建议。</w:t>
            </w:r>
          </w:p>
        </w:tc>
        <w:tc>
          <w:tcPr>
            <w:tcW w:w="1350" w:type="dxa"/>
            <w:shd w:val="clear" w:color="auto" w:fill="auto"/>
            <w:noWrap w:val="0"/>
            <w:vAlign w:val="center"/>
          </w:tcPr>
          <w:p w14:paraId="37B6F7A7">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柯金国</w:t>
            </w:r>
          </w:p>
          <w:p w14:paraId="7F2C70E9">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许冬红</w:t>
            </w:r>
          </w:p>
          <w:p w14:paraId="43B0B3F1">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林新钊</w:t>
            </w:r>
          </w:p>
          <w:p w14:paraId="3AD68909">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陈金毓</w:t>
            </w:r>
          </w:p>
          <w:p w14:paraId="66F8BD48">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阮春高</w:t>
            </w:r>
          </w:p>
          <w:p w14:paraId="08C9E3FA">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4"/>
                <w:szCs w:val="24"/>
                <w:lang w:val="en-US" w:eastAsia="zh-CN" w:bidi="ar"/>
              </w:rPr>
              <w:t>张凡</w:t>
            </w:r>
          </w:p>
          <w:p w14:paraId="56A4AF6E">
            <w:pPr>
              <w:widowControl/>
              <w:spacing w:line="240" w:lineRule="auto"/>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兰希红</w:t>
            </w:r>
          </w:p>
        </w:tc>
        <w:tc>
          <w:tcPr>
            <w:tcW w:w="1257" w:type="dxa"/>
            <w:noWrap w:val="0"/>
            <w:vAlign w:val="center"/>
          </w:tcPr>
          <w:p w14:paraId="75BB890D">
            <w:pPr>
              <w:widowControl/>
              <w:spacing w:line="240" w:lineRule="auto"/>
              <w:ind w:leftChars="0"/>
              <w:jc w:val="center"/>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党政办</w:t>
            </w:r>
          </w:p>
        </w:tc>
        <w:tc>
          <w:tcPr>
            <w:tcW w:w="1042" w:type="dxa"/>
            <w:noWrap w:val="0"/>
            <w:vAlign w:val="center"/>
          </w:tcPr>
          <w:p w14:paraId="6E8CD971">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郭丽花</w:t>
            </w:r>
          </w:p>
        </w:tc>
        <w:tc>
          <w:tcPr>
            <w:tcW w:w="1017" w:type="dxa"/>
            <w:noWrap w:val="0"/>
            <w:vAlign w:val="center"/>
          </w:tcPr>
          <w:p w14:paraId="36DB0C73">
            <w:pPr>
              <w:spacing w:line="240" w:lineRule="auto"/>
              <w:ind w:left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2025.12.31</w:t>
            </w:r>
          </w:p>
        </w:tc>
      </w:tr>
      <w:tr w14:paraId="16B0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9" w:hRule="atLeast"/>
        </w:trPr>
        <w:tc>
          <w:tcPr>
            <w:tcW w:w="1088" w:type="dxa"/>
            <w:vMerge w:val="continue"/>
            <w:noWrap w:val="0"/>
            <w:vAlign w:val="center"/>
          </w:tcPr>
          <w:p w14:paraId="32CC6F90">
            <w:pPr>
              <w:widowControl/>
              <w:spacing w:line="240" w:lineRule="auto"/>
              <w:ind w:leftChars="0"/>
              <w:textAlignment w:val="center"/>
              <w:rPr>
                <w:rFonts w:hint="eastAsia" w:ascii="仿宋_GB2312" w:hAnsi="仿宋_GB2312" w:eastAsia="仿宋_GB2312" w:cs="仿宋_GB2312"/>
                <w:sz w:val="24"/>
                <w:lang w:val="en-US" w:eastAsia="zh-CN"/>
              </w:rPr>
            </w:pPr>
          </w:p>
        </w:tc>
        <w:tc>
          <w:tcPr>
            <w:tcW w:w="1069" w:type="dxa"/>
            <w:noWrap w:val="0"/>
            <w:vAlign w:val="center"/>
          </w:tcPr>
          <w:p w14:paraId="44F7C837">
            <w:pPr>
              <w:widowControl/>
              <w:tabs>
                <w:tab w:val="left" w:pos="1123"/>
              </w:tabs>
              <w:spacing w:line="240" w:lineRule="auto"/>
              <w:ind w:leftChars="0"/>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党员干部教育管理需进一步提升</w:t>
            </w:r>
          </w:p>
        </w:tc>
        <w:tc>
          <w:tcPr>
            <w:tcW w:w="4122" w:type="dxa"/>
            <w:noWrap w:val="0"/>
            <w:vAlign w:val="center"/>
          </w:tcPr>
          <w:p w14:paraId="5DC1AF42">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在对党员干部的日常监督管理方面，教育管理还不够扎实有效，对“关键少数”监督的多，对“普通干部”监督的少，对一些党员干部的苗头性、倾向性问题，发现和纠正不够及时，导致部分党员干部对纪律规矩的敬畏之心不够强，出现个别违纪违规行为</w:t>
            </w:r>
          </w:p>
        </w:tc>
        <w:tc>
          <w:tcPr>
            <w:tcW w:w="4371" w:type="dxa"/>
            <w:noWrap w:val="0"/>
            <w:vAlign w:val="center"/>
          </w:tcPr>
          <w:p w14:paraId="44CE77DC">
            <w:pPr>
              <w:pStyle w:val="4"/>
              <w:widowControl w:val="0"/>
              <w:numPr>
                <w:ilvl w:val="0"/>
                <w:numId w:val="0"/>
              </w:numPr>
              <w:shd w:val="clear" w:color="auto" w:fill="FFFFFF"/>
              <w:tabs>
                <w:tab w:val="left" w:pos="1160"/>
              </w:tabs>
              <w:spacing w:before="0" w:beforeAutospacing="0" w:after="0" w:afterAutospacing="0" w:line="240" w:lineRule="auto"/>
              <w:rPr>
                <w:rFonts w:hint="eastAsia" w:ascii="仿宋_GB2312" w:hAnsi="宋体" w:eastAsia="仿宋_GB2312" w:cs="仿宋_GB2312"/>
                <w:b w:val="0"/>
                <w:bCs w:val="0"/>
                <w:sz w:val="22"/>
                <w:szCs w:val="22"/>
                <w:lang w:val="en-US" w:eastAsia="zh-CN" w:bidi="ar"/>
              </w:rPr>
            </w:pPr>
            <w:r>
              <w:rPr>
                <w:rFonts w:hint="eastAsia" w:ascii="仿宋_GB2312" w:hAnsi="宋体" w:eastAsia="仿宋_GB2312" w:cs="仿宋_GB2312"/>
                <w:b w:val="0"/>
                <w:bCs w:val="0"/>
                <w:sz w:val="22"/>
                <w:szCs w:val="22"/>
                <w:lang w:val="en-US" w:eastAsia="zh-CN" w:bidi="ar"/>
              </w:rPr>
              <w:t>1.</w:t>
            </w:r>
            <w:r>
              <w:rPr>
                <w:rFonts w:hint="eastAsia" w:ascii="仿宋_GB2312" w:eastAsia="仿宋_GB2312" w:cs="仿宋_GB2312"/>
                <w:b w:val="0"/>
                <w:bCs w:val="0"/>
                <w:sz w:val="22"/>
                <w:szCs w:val="22"/>
                <w:lang w:val="en-US" w:eastAsia="zh-CN" w:bidi="ar"/>
              </w:rPr>
              <w:t>整合监督力量</w:t>
            </w:r>
            <w:r>
              <w:rPr>
                <w:rFonts w:hint="eastAsia" w:ascii="仿宋_GB2312" w:hAnsi="宋体" w:eastAsia="仿宋_GB2312" w:cs="仿宋_GB2312"/>
                <w:b w:val="0"/>
                <w:bCs w:val="0"/>
                <w:sz w:val="22"/>
                <w:szCs w:val="22"/>
                <w:lang w:val="en-US" w:eastAsia="zh-CN" w:bidi="ar"/>
              </w:rPr>
              <w:t>，提高监督质效。</w:t>
            </w:r>
            <w:r>
              <w:rPr>
                <w:rFonts w:hint="eastAsia" w:ascii="仿宋_GB2312" w:eastAsia="仿宋_GB2312" w:cs="仿宋_GB2312"/>
                <w:b w:val="0"/>
                <w:bCs w:val="0"/>
                <w:sz w:val="22"/>
                <w:szCs w:val="22"/>
                <w:lang w:val="en-US" w:eastAsia="zh-CN" w:bidi="ar"/>
              </w:rPr>
              <w:t>充分发挥党政办（审计）、组织、人事、后勤等职能部门的职能监督，督促基层党组织按照干部管理权限开展层级监督、日常监督，加强基层纪检委员“监督末梢”作用，</w:t>
            </w:r>
            <w:r>
              <w:rPr>
                <w:rFonts w:hint="eastAsia" w:ascii="仿宋_GB2312" w:hAnsi="宋体" w:eastAsia="仿宋_GB2312" w:cs="仿宋_GB2312"/>
                <w:b w:val="0"/>
                <w:bCs w:val="0"/>
                <w:sz w:val="22"/>
                <w:szCs w:val="22"/>
                <w:lang w:val="en-US" w:eastAsia="zh-CN" w:bidi="ar"/>
              </w:rPr>
              <w:t>经常性、近距离、广泛接触</w:t>
            </w:r>
            <w:r>
              <w:rPr>
                <w:rFonts w:hint="eastAsia" w:ascii="仿宋_GB2312" w:eastAsia="仿宋_GB2312" w:cs="仿宋_GB2312"/>
                <w:b w:val="0"/>
                <w:bCs w:val="0"/>
                <w:sz w:val="22"/>
                <w:szCs w:val="22"/>
                <w:lang w:val="en-US" w:eastAsia="zh-CN" w:bidi="ar"/>
              </w:rPr>
              <w:t>基层教职工</w:t>
            </w:r>
            <w:r>
              <w:rPr>
                <w:rFonts w:hint="eastAsia" w:ascii="仿宋_GB2312" w:hAnsi="宋体" w:eastAsia="仿宋_GB2312" w:cs="仿宋_GB2312"/>
                <w:b w:val="0"/>
                <w:bCs w:val="0"/>
                <w:sz w:val="22"/>
                <w:szCs w:val="22"/>
                <w:lang w:val="en-US" w:eastAsia="zh-CN" w:bidi="ar"/>
              </w:rPr>
              <w:t>，全方位、多角度了解掌握</w:t>
            </w:r>
            <w:r>
              <w:rPr>
                <w:rFonts w:hint="eastAsia" w:ascii="仿宋_GB2312" w:eastAsia="仿宋_GB2312" w:cs="仿宋_GB2312"/>
                <w:b w:val="0"/>
                <w:bCs w:val="0"/>
                <w:sz w:val="22"/>
                <w:szCs w:val="22"/>
                <w:lang w:val="en-US" w:eastAsia="zh-CN" w:bidi="ar"/>
              </w:rPr>
              <w:t>普通</w:t>
            </w:r>
            <w:r>
              <w:rPr>
                <w:rFonts w:hint="eastAsia" w:ascii="仿宋_GB2312" w:hAnsi="宋体" w:eastAsia="仿宋_GB2312" w:cs="仿宋_GB2312"/>
                <w:b w:val="0"/>
                <w:bCs w:val="0"/>
                <w:sz w:val="22"/>
                <w:szCs w:val="22"/>
                <w:lang w:val="en-US" w:eastAsia="zh-CN" w:bidi="ar"/>
              </w:rPr>
              <w:t>干部的德才表现、担当作为情况和群众口碑等，推动监督由事后处理向事前防范和事中管理转变。</w:t>
            </w:r>
          </w:p>
          <w:p w14:paraId="7A294338">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hAnsi="宋体" w:eastAsia="仿宋_GB2312" w:cs="仿宋_GB2312"/>
                <w:b w:val="0"/>
                <w:bCs w:val="0"/>
                <w:sz w:val="22"/>
                <w:szCs w:val="22"/>
                <w:lang w:val="en-US" w:eastAsia="zh-CN" w:bidi="ar"/>
              </w:rPr>
              <w:t>2.以廉洁文化涵养风清气正的政治生态。</w:t>
            </w:r>
            <w:r>
              <w:rPr>
                <w:rFonts w:hint="eastAsia" w:ascii="仿宋_GB2312" w:hAnsi="宋体" w:eastAsia="仿宋_GB2312" w:cs="仿宋_GB2312"/>
                <w:sz w:val="22"/>
                <w:szCs w:val="22"/>
                <w:lang w:val="en-US" w:eastAsia="zh-CN" w:bidi="ar"/>
              </w:rPr>
              <w:t>持续推进教育部“高校廉洁教育系列活动”、福建省教育厅“廉洁福建*清清校园”系列活动，结合专业特色持续开展“一系一特色”廉洁警示教育活动，充分发挥廉洁文化广场的廉洁教育作用，以廉洁文化提升教职工纪法意识。</w:t>
            </w:r>
          </w:p>
        </w:tc>
        <w:tc>
          <w:tcPr>
            <w:tcW w:w="1350" w:type="dxa"/>
            <w:shd w:val="clear" w:color="auto" w:fill="auto"/>
            <w:noWrap w:val="0"/>
            <w:vAlign w:val="center"/>
          </w:tcPr>
          <w:p w14:paraId="4FF36E44">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柯金国</w:t>
            </w:r>
          </w:p>
          <w:p w14:paraId="54042BEF">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许冬红</w:t>
            </w:r>
          </w:p>
          <w:p w14:paraId="1BC1E3AA">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林新钊</w:t>
            </w:r>
          </w:p>
          <w:p w14:paraId="567A3C0A">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陈金毓</w:t>
            </w:r>
          </w:p>
          <w:p w14:paraId="300A1491">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阮春高</w:t>
            </w:r>
          </w:p>
          <w:p w14:paraId="4242B5BB">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4"/>
                <w:szCs w:val="24"/>
                <w:lang w:val="en-US" w:eastAsia="zh-CN" w:bidi="ar"/>
              </w:rPr>
              <w:t>张凡</w:t>
            </w:r>
          </w:p>
          <w:p w14:paraId="605C0AEB">
            <w:pPr>
              <w:widowControl/>
              <w:spacing w:line="240" w:lineRule="auto"/>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兰希红</w:t>
            </w:r>
          </w:p>
        </w:tc>
        <w:tc>
          <w:tcPr>
            <w:tcW w:w="1257" w:type="dxa"/>
            <w:noWrap w:val="0"/>
            <w:vAlign w:val="center"/>
          </w:tcPr>
          <w:p w14:paraId="106F4FC3">
            <w:pPr>
              <w:widowControl/>
              <w:spacing w:line="240" w:lineRule="auto"/>
              <w:ind w:leftChars="0"/>
              <w:jc w:val="center"/>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纪委办</w:t>
            </w:r>
          </w:p>
        </w:tc>
        <w:tc>
          <w:tcPr>
            <w:tcW w:w="1042" w:type="dxa"/>
            <w:noWrap w:val="0"/>
            <w:vAlign w:val="center"/>
          </w:tcPr>
          <w:p w14:paraId="4D388001">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郑志鹏</w:t>
            </w:r>
          </w:p>
        </w:tc>
        <w:tc>
          <w:tcPr>
            <w:tcW w:w="1017" w:type="dxa"/>
            <w:noWrap w:val="0"/>
            <w:vAlign w:val="center"/>
          </w:tcPr>
          <w:p w14:paraId="54D25BC2">
            <w:pPr>
              <w:spacing w:line="240" w:lineRule="auto"/>
              <w:ind w:left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今年年底并长久立</w:t>
            </w:r>
          </w:p>
        </w:tc>
      </w:tr>
      <w:tr w14:paraId="4440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3" w:hRule="atLeast"/>
        </w:trPr>
        <w:tc>
          <w:tcPr>
            <w:tcW w:w="1088" w:type="dxa"/>
            <w:vMerge w:val="continue"/>
            <w:noWrap w:val="0"/>
            <w:vAlign w:val="center"/>
          </w:tcPr>
          <w:p w14:paraId="3E0FC8C9">
            <w:pPr>
              <w:widowControl/>
              <w:spacing w:line="240" w:lineRule="auto"/>
              <w:ind w:leftChars="0"/>
              <w:textAlignment w:val="center"/>
              <w:rPr>
                <w:rFonts w:hint="eastAsia" w:ascii="仿宋_GB2312" w:hAnsi="仿宋_GB2312" w:eastAsia="仿宋_GB2312" w:cs="仿宋_GB2312"/>
                <w:sz w:val="24"/>
                <w:lang w:val="en-US" w:eastAsia="zh-CN"/>
              </w:rPr>
            </w:pPr>
          </w:p>
        </w:tc>
        <w:tc>
          <w:tcPr>
            <w:tcW w:w="1069" w:type="dxa"/>
            <w:vMerge w:val="restart"/>
            <w:noWrap w:val="0"/>
            <w:vAlign w:val="center"/>
          </w:tcPr>
          <w:p w14:paraId="2658702A">
            <w:pPr>
              <w:widowControl/>
              <w:tabs>
                <w:tab w:val="left" w:pos="1123"/>
              </w:tabs>
              <w:spacing w:line="240" w:lineRule="auto"/>
              <w:ind w:leftChars="0"/>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意识形态工作责任需进一步落实</w:t>
            </w:r>
          </w:p>
        </w:tc>
        <w:tc>
          <w:tcPr>
            <w:tcW w:w="4122" w:type="dxa"/>
            <w:noWrap w:val="0"/>
            <w:vAlign w:val="center"/>
          </w:tcPr>
          <w:p w14:paraId="3A92BD3E">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虽然制定了意识形态工作责任制实施细则，但在实际执行过程中，缺乏有效的监督机制，导致个别部门和人员对意识形态工作责任落实不够到位。</w:t>
            </w:r>
          </w:p>
        </w:tc>
        <w:tc>
          <w:tcPr>
            <w:tcW w:w="4371" w:type="dxa"/>
            <w:noWrap w:val="0"/>
            <w:vAlign w:val="center"/>
          </w:tcPr>
          <w:p w14:paraId="1ABA7CB7">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1.增强责任意识。结合学院每季度意识形态领域定期开展意识形态工作专题培训，通过案例分析和经验分享，增强责任感和使命感，提升干部对意识形态重要性的认识。</w:t>
            </w:r>
          </w:p>
          <w:p w14:paraId="0357F72D">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2.完善工作机制。结合《福建省党委（党组）意识形态工作责任追究办法（试行）》建立健全意识形态工作机制，制定科学的考核标准和评估体系，定期对各单位的意识形态工作进行评估和考核。</w:t>
            </w:r>
          </w:p>
          <w:p w14:paraId="1CD8F968">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hAnsi="宋体" w:eastAsia="仿宋_GB2312" w:cs="仿宋_GB2312"/>
                <w:kern w:val="0"/>
                <w:sz w:val="22"/>
                <w:szCs w:val="22"/>
                <w:lang w:val="en-US" w:eastAsia="zh-CN" w:bidi="ar"/>
              </w:rPr>
              <w:t>3.提醒学院领导班子成员全面落实意识形态“一岗双责”责任制，层层传导压力，推动意识形态工作落实落细。</w:t>
            </w:r>
          </w:p>
        </w:tc>
        <w:tc>
          <w:tcPr>
            <w:tcW w:w="1350" w:type="dxa"/>
            <w:shd w:val="clear" w:color="auto" w:fill="auto"/>
            <w:noWrap w:val="0"/>
            <w:vAlign w:val="center"/>
          </w:tcPr>
          <w:p w14:paraId="57A37D46">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柯金国</w:t>
            </w:r>
          </w:p>
          <w:p w14:paraId="776A0D46">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许冬红</w:t>
            </w:r>
          </w:p>
          <w:p w14:paraId="01C5260C">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林新钊</w:t>
            </w:r>
          </w:p>
          <w:p w14:paraId="1B35D58E">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陈金毓</w:t>
            </w:r>
          </w:p>
          <w:p w14:paraId="4C7CE3E4">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阮春高</w:t>
            </w:r>
          </w:p>
          <w:p w14:paraId="3161DC5B">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4"/>
                <w:szCs w:val="24"/>
                <w:lang w:val="en-US" w:eastAsia="zh-CN" w:bidi="ar"/>
              </w:rPr>
              <w:t>张凡</w:t>
            </w:r>
          </w:p>
          <w:p w14:paraId="41FB8C59">
            <w:pPr>
              <w:widowControl/>
              <w:spacing w:line="240" w:lineRule="auto"/>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兰希红</w:t>
            </w:r>
          </w:p>
        </w:tc>
        <w:tc>
          <w:tcPr>
            <w:tcW w:w="1257" w:type="dxa"/>
            <w:noWrap w:val="0"/>
            <w:vAlign w:val="center"/>
          </w:tcPr>
          <w:p w14:paraId="4604B7DC">
            <w:pPr>
              <w:widowControl/>
              <w:spacing w:line="240" w:lineRule="auto"/>
              <w:ind w:leftChars="0"/>
              <w:jc w:val="center"/>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宣传部</w:t>
            </w:r>
          </w:p>
        </w:tc>
        <w:tc>
          <w:tcPr>
            <w:tcW w:w="1042" w:type="dxa"/>
            <w:noWrap w:val="0"/>
            <w:vAlign w:val="center"/>
          </w:tcPr>
          <w:p w14:paraId="6F86F994">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吴志先</w:t>
            </w:r>
          </w:p>
        </w:tc>
        <w:tc>
          <w:tcPr>
            <w:tcW w:w="1017" w:type="dxa"/>
            <w:noWrap w:val="0"/>
            <w:vAlign w:val="center"/>
          </w:tcPr>
          <w:p w14:paraId="66E1782F">
            <w:pPr>
              <w:spacing w:line="240" w:lineRule="auto"/>
              <w:ind w:left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2025.12.31</w:t>
            </w:r>
          </w:p>
        </w:tc>
      </w:tr>
      <w:tr w14:paraId="2382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9" w:hRule="atLeast"/>
        </w:trPr>
        <w:tc>
          <w:tcPr>
            <w:tcW w:w="1088" w:type="dxa"/>
            <w:vMerge w:val="continue"/>
            <w:noWrap w:val="0"/>
            <w:vAlign w:val="center"/>
          </w:tcPr>
          <w:p w14:paraId="0595A33C">
            <w:pPr>
              <w:widowControl/>
              <w:spacing w:line="240" w:lineRule="auto"/>
              <w:ind w:leftChars="0"/>
              <w:textAlignment w:val="center"/>
              <w:rPr>
                <w:rFonts w:hint="eastAsia" w:ascii="仿宋_GB2312" w:hAnsi="仿宋_GB2312" w:eastAsia="仿宋_GB2312" w:cs="仿宋_GB2312"/>
                <w:sz w:val="24"/>
                <w:lang w:val="en-US" w:eastAsia="zh-CN"/>
              </w:rPr>
            </w:pPr>
          </w:p>
        </w:tc>
        <w:tc>
          <w:tcPr>
            <w:tcW w:w="1069" w:type="dxa"/>
            <w:vMerge w:val="continue"/>
            <w:noWrap w:val="0"/>
            <w:vAlign w:val="center"/>
          </w:tcPr>
          <w:p w14:paraId="6EBFBE3F">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4122" w:type="dxa"/>
            <w:vMerge w:val="restart"/>
            <w:noWrap w:val="0"/>
            <w:vAlign w:val="center"/>
          </w:tcPr>
          <w:p w14:paraId="2F113744">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对师生的思想政治教育方式方法较为传统，针对性和实效性不强，未能充分结合新媒体时代特点，满足师生多样化的学习需求</w:t>
            </w:r>
          </w:p>
        </w:tc>
        <w:tc>
          <w:tcPr>
            <w:tcW w:w="4371" w:type="dxa"/>
            <w:noWrap w:val="0"/>
            <w:vAlign w:val="center"/>
          </w:tcPr>
          <w:p w14:paraId="2F99B6AD">
            <w:pPr>
              <w:pStyle w:val="4"/>
              <w:widowControl w:val="0"/>
              <w:shd w:val="clear" w:color="auto" w:fill="FFFFFF"/>
              <w:tabs>
                <w:tab w:val="left" w:pos="1160"/>
              </w:tabs>
              <w:spacing w:before="0" w:beforeAutospacing="0" w:after="0" w:afterAutospacing="0" w:line="240" w:lineRule="auto"/>
              <w:ind w:leftChars="0"/>
              <w:rPr>
                <w:rFonts w:hint="default" w:ascii="仿宋_GB2312" w:eastAsia="仿宋_GB2312" w:cs="仿宋_GB2312"/>
                <w:sz w:val="22"/>
                <w:szCs w:val="22"/>
                <w:lang w:val="en-US" w:eastAsia="zh-CN" w:bidi="ar"/>
              </w:rPr>
            </w:pPr>
            <w:r>
              <w:rPr>
                <w:rFonts w:hint="eastAsia" w:ascii="仿宋_GB2312" w:eastAsia="仿宋_GB2312" w:cs="仿宋_GB2312"/>
                <w:sz w:val="22"/>
                <w:szCs w:val="22"/>
                <w:lang w:val="en-US" w:eastAsia="zh-CN" w:bidi="ar"/>
              </w:rPr>
              <w:t>1.</w:t>
            </w:r>
            <w:r>
              <w:rPr>
                <w:rFonts w:hint="default" w:ascii="仿宋_GB2312" w:eastAsia="仿宋_GB2312" w:cs="仿宋_GB2312"/>
                <w:sz w:val="22"/>
                <w:szCs w:val="22"/>
                <w:lang w:val="en-US" w:eastAsia="zh-CN" w:bidi="ar"/>
              </w:rPr>
              <w:t>完善教育机制</w:t>
            </w:r>
            <w:r>
              <w:rPr>
                <w:rFonts w:hint="eastAsia" w:ascii="仿宋_GB2312" w:eastAsia="仿宋_GB2312" w:cs="仿宋_GB2312"/>
                <w:sz w:val="22"/>
                <w:szCs w:val="22"/>
                <w:lang w:val="en-US" w:eastAsia="zh-CN" w:bidi="ar"/>
              </w:rPr>
              <w:t>：</w:t>
            </w:r>
            <w:r>
              <w:rPr>
                <w:rFonts w:hint="default" w:ascii="仿宋_GB2312" w:eastAsia="仿宋_GB2312" w:cs="仿宋_GB2312"/>
                <w:sz w:val="22"/>
                <w:szCs w:val="22"/>
                <w:lang w:val="en-US" w:eastAsia="zh-CN" w:bidi="ar"/>
              </w:rPr>
              <w:t>建立分层分类培训体系</w:t>
            </w:r>
            <w:r>
              <w:rPr>
                <w:rFonts w:hint="eastAsia" w:ascii="仿宋_GB2312" w:eastAsia="仿宋_GB2312" w:cs="仿宋_GB2312"/>
                <w:sz w:val="22"/>
                <w:szCs w:val="22"/>
                <w:lang w:val="en-US" w:eastAsia="zh-CN" w:bidi="ar"/>
              </w:rPr>
              <w:t>，</w:t>
            </w:r>
            <w:r>
              <w:rPr>
                <w:rFonts w:hint="default" w:ascii="仿宋_GB2312" w:eastAsia="仿宋_GB2312" w:cs="仿宋_GB2312"/>
                <w:sz w:val="22"/>
                <w:szCs w:val="22"/>
                <w:lang w:val="en-US" w:eastAsia="zh-CN" w:bidi="ar"/>
              </w:rPr>
              <w:t>根据教师的不同情况，建立分层分类的思想政治教育培训体系。如新入职教师进行入职培训，重点加强师德师风和职业理想教育；骨干教师进行专题培训，提升其思想政治引领能力和课程思政教学能力等。</w:t>
            </w:r>
          </w:p>
          <w:p w14:paraId="18C1E745">
            <w:pPr>
              <w:pStyle w:val="4"/>
              <w:widowControl w:val="0"/>
              <w:shd w:val="clear" w:color="auto" w:fill="FFFFFF"/>
              <w:tabs>
                <w:tab w:val="left" w:pos="1160"/>
              </w:tabs>
              <w:spacing w:before="0" w:beforeAutospacing="0" w:after="0" w:afterAutospacing="0" w:line="240" w:lineRule="auto"/>
              <w:ind w:leftChars="0"/>
              <w:rPr>
                <w:rFonts w:hint="default" w:ascii="仿宋_GB2312" w:eastAsia="仿宋_GB2312" w:cs="仿宋_GB2312"/>
                <w:sz w:val="22"/>
                <w:szCs w:val="22"/>
                <w:lang w:val="en-US" w:eastAsia="zh-CN" w:bidi="ar"/>
              </w:rPr>
            </w:pPr>
            <w:r>
              <w:rPr>
                <w:rFonts w:hint="eastAsia" w:ascii="仿宋_GB2312" w:eastAsia="仿宋_GB2312" w:cs="仿宋_GB2312"/>
                <w:sz w:val="22"/>
                <w:szCs w:val="22"/>
                <w:lang w:val="en-US" w:eastAsia="zh-CN" w:bidi="ar"/>
              </w:rPr>
              <w:t>2.</w:t>
            </w:r>
            <w:r>
              <w:rPr>
                <w:rFonts w:hint="default" w:ascii="仿宋_GB2312" w:eastAsia="仿宋_GB2312" w:cs="仿宋_GB2312"/>
                <w:sz w:val="22"/>
                <w:szCs w:val="22"/>
                <w:lang w:val="en-US" w:eastAsia="zh-CN" w:bidi="ar"/>
              </w:rPr>
              <w:t>强化考核评价：将教师思想政治表现纳入绩效考核、职称评定、评优评先等考核体系，建立量化的考核指标，如思想政治理论学习的参与度、学习成果、师德表现等，确保思想政治教育工作落到实处。</w:t>
            </w:r>
          </w:p>
          <w:p w14:paraId="1A6B1E92">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eastAsia="仿宋_GB2312" w:cs="仿宋_GB2312"/>
                <w:sz w:val="22"/>
                <w:szCs w:val="22"/>
                <w:lang w:val="en-US" w:eastAsia="zh-CN" w:bidi="ar"/>
              </w:rPr>
              <w:t>3.</w:t>
            </w:r>
            <w:r>
              <w:rPr>
                <w:rFonts w:hint="default" w:ascii="仿宋_GB2312" w:eastAsia="仿宋_GB2312" w:cs="仿宋_GB2312"/>
                <w:sz w:val="22"/>
                <w:szCs w:val="22"/>
                <w:lang w:val="en-US" w:eastAsia="zh-CN" w:bidi="ar"/>
              </w:rPr>
              <w:t>加强师资队伍建设：选拔和培养一批政治素质高、业务能力强的思想政治教育师资队伍，包括校内的专家学者、优秀教师，以及邀请校外的党政干部、专家学者、先进模范人物等担任兼职教师，为教师提供高质量的思想政治教育课程和讲座。</w:t>
            </w:r>
          </w:p>
        </w:tc>
        <w:tc>
          <w:tcPr>
            <w:tcW w:w="1350" w:type="dxa"/>
            <w:vMerge w:val="restart"/>
            <w:shd w:val="clear" w:color="auto" w:fill="auto"/>
            <w:noWrap w:val="0"/>
            <w:vAlign w:val="center"/>
          </w:tcPr>
          <w:p w14:paraId="3480B742">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柯金国</w:t>
            </w:r>
          </w:p>
          <w:p w14:paraId="4CB8FE8F">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许冬红</w:t>
            </w:r>
          </w:p>
          <w:p w14:paraId="597E010C">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林新钊</w:t>
            </w:r>
          </w:p>
          <w:p w14:paraId="3AC27D6B">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陈金毓</w:t>
            </w:r>
          </w:p>
          <w:p w14:paraId="51CF374F">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阮春高</w:t>
            </w:r>
          </w:p>
          <w:p w14:paraId="27F99750">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4"/>
                <w:szCs w:val="24"/>
                <w:lang w:val="en-US" w:eastAsia="zh-CN" w:bidi="ar"/>
              </w:rPr>
              <w:t>张凡</w:t>
            </w:r>
          </w:p>
          <w:p w14:paraId="60F83513">
            <w:pPr>
              <w:widowControl/>
              <w:spacing w:line="240" w:lineRule="auto"/>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兰希红</w:t>
            </w:r>
          </w:p>
        </w:tc>
        <w:tc>
          <w:tcPr>
            <w:tcW w:w="1257" w:type="dxa"/>
            <w:vMerge w:val="restart"/>
            <w:noWrap w:val="0"/>
            <w:vAlign w:val="center"/>
          </w:tcPr>
          <w:p w14:paraId="7C172520">
            <w:pPr>
              <w:widowControl/>
              <w:spacing w:line="240" w:lineRule="auto"/>
              <w:ind w:leftChars="0"/>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人事处</w:t>
            </w:r>
          </w:p>
        </w:tc>
        <w:tc>
          <w:tcPr>
            <w:tcW w:w="1042" w:type="dxa"/>
            <w:vMerge w:val="restart"/>
            <w:noWrap w:val="0"/>
            <w:vAlign w:val="center"/>
          </w:tcPr>
          <w:p w14:paraId="63FFECFB">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陈群霞</w:t>
            </w:r>
          </w:p>
        </w:tc>
        <w:tc>
          <w:tcPr>
            <w:tcW w:w="1017" w:type="dxa"/>
            <w:vMerge w:val="restart"/>
            <w:noWrap w:val="0"/>
            <w:vAlign w:val="center"/>
          </w:tcPr>
          <w:p w14:paraId="214AD608">
            <w:pPr>
              <w:spacing w:line="240" w:lineRule="auto"/>
              <w:ind w:left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2025.12.31</w:t>
            </w:r>
          </w:p>
        </w:tc>
      </w:tr>
      <w:tr w14:paraId="0782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1088" w:type="dxa"/>
            <w:vMerge w:val="continue"/>
            <w:noWrap w:val="0"/>
            <w:vAlign w:val="center"/>
          </w:tcPr>
          <w:p w14:paraId="4BF05416">
            <w:pPr>
              <w:widowControl/>
              <w:spacing w:line="240" w:lineRule="auto"/>
              <w:ind w:leftChars="0"/>
              <w:textAlignment w:val="center"/>
              <w:rPr>
                <w:rFonts w:hint="eastAsia" w:ascii="仿宋_GB2312" w:hAnsi="仿宋_GB2312" w:eastAsia="仿宋_GB2312" w:cs="仿宋_GB2312"/>
                <w:sz w:val="24"/>
                <w:lang w:val="en-US" w:eastAsia="zh-CN"/>
              </w:rPr>
            </w:pPr>
          </w:p>
        </w:tc>
        <w:tc>
          <w:tcPr>
            <w:tcW w:w="1069" w:type="dxa"/>
            <w:vMerge w:val="continue"/>
            <w:noWrap w:val="0"/>
            <w:vAlign w:val="center"/>
          </w:tcPr>
          <w:p w14:paraId="7BE65D0E">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4122" w:type="dxa"/>
            <w:vMerge w:val="continue"/>
            <w:noWrap w:val="0"/>
            <w:vAlign w:val="center"/>
          </w:tcPr>
          <w:p w14:paraId="7F84263C">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4371" w:type="dxa"/>
            <w:vMerge w:val="restart"/>
            <w:noWrap w:val="0"/>
            <w:vAlign w:val="center"/>
          </w:tcPr>
          <w:p w14:paraId="59A11156">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color w:val="auto"/>
                <w:sz w:val="22"/>
                <w:szCs w:val="22"/>
                <w:lang w:eastAsia="zh-CN" w:bidi="ar"/>
              </w:rPr>
            </w:pPr>
            <w:r>
              <w:rPr>
                <w:rFonts w:hint="eastAsia" w:ascii="仿宋_GB2312" w:eastAsia="仿宋_GB2312" w:cs="仿宋_GB2312"/>
                <w:color w:val="auto"/>
                <w:sz w:val="22"/>
                <w:szCs w:val="22"/>
                <w:lang w:val="en-US" w:eastAsia="zh-CN" w:bidi="ar"/>
              </w:rPr>
              <w:t>1.</w:t>
            </w:r>
            <w:r>
              <w:rPr>
                <w:rFonts w:hint="eastAsia" w:ascii="仿宋_GB2312" w:eastAsia="仿宋_GB2312" w:cs="仿宋_GB2312"/>
                <w:color w:val="auto"/>
                <w:sz w:val="22"/>
                <w:szCs w:val="22"/>
                <w:lang w:eastAsia="zh-CN" w:bidi="ar"/>
              </w:rPr>
              <w:t>创新内容形式：结合网络热点、学生关注话题，制作短视频、动漫等新媒体思政作品，通过“湄园在线”等平台推送，提升吸引力。</w:t>
            </w:r>
          </w:p>
          <w:p w14:paraId="5A437BAE">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color w:val="auto"/>
                <w:sz w:val="22"/>
                <w:szCs w:val="22"/>
                <w:lang w:eastAsia="zh-CN" w:bidi="ar"/>
              </w:rPr>
            </w:pPr>
            <w:r>
              <w:rPr>
                <w:rFonts w:hint="eastAsia" w:ascii="仿宋_GB2312" w:eastAsia="仿宋_GB2312" w:cs="仿宋_GB2312"/>
                <w:color w:val="auto"/>
                <w:sz w:val="22"/>
                <w:szCs w:val="22"/>
                <w:lang w:val="en-US" w:eastAsia="zh-CN" w:bidi="ar"/>
              </w:rPr>
              <w:t>2.</w:t>
            </w:r>
            <w:r>
              <w:rPr>
                <w:rFonts w:hint="eastAsia" w:ascii="仿宋_GB2312" w:eastAsia="仿宋_GB2312" w:cs="仿宋_GB2312"/>
                <w:color w:val="auto"/>
                <w:sz w:val="22"/>
                <w:szCs w:val="22"/>
                <w:lang w:eastAsia="zh-CN" w:bidi="ar"/>
              </w:rPr>
              <w:t>搭建互动平台：利用易班网、中国大学生在线开展思政话题讨论、线上知识竞赛，鼓励学生分享见解，增强参与感。</w:t>
            </w:r>
          </w:p>
          <w:p w14:paraId="59B5770B">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eastAsia="仿宋_GB2312" w:cs="仿宋_GB2312"/>
                <w:color w:val="auto"/>
                <w:sz w:val="22"/>
                <w:szCs w:val="22"/>
                <w:lang w:val="en-US" w:eastAsia="zh-CN" w:bidi="ar"/>
              </w:rPr>
              <w:t>3.</w:t>
            </w:r>
            <w:r>
              <w:rPr>
                <w:rFonts w:hint="eastAsia" w:ascii="仿宋_GB2312" w:eastAsia="仿宋_GB2312" w:cs="仿宋_GB2312"/>
                <w:color w:val="auto"/>
                <w:sz w:val="22"/>
                <w:szCs w:val="22"/>
                <w:lang w:eastAsia="zh-CN" w:bidi="ar"/>
              </w:rPr>
              <w:t>打造多元课堂：邀请专家、校友开展网络直播讲座，利用全国高校思政网优质资源开展线上线下混合式教学，满足多样学习需求。</w:t>
            </w:r>
          </w:p>
        </w:tc>
        <w:tc>
          <w:tcPr>
            <w:tcW w:w="1350" w:type="dxa"/>
            <w:vMerge w:val="continue"/>
            <w:shd w:val="clear" w:color="auto" w:fill="auto"/>
            <w:noWrap w:val="0"/>
            <w:vAlign w:val="center"/>
          </w:tcPr>
          <w:p w14:paraId="2C1B98A9">
            <w:pPr>
              <w:widowControl/>
              <w:spacing w:line="240" w:lineRule="auto"/>
              <w:jc w:val="center"/>
              <w:textAlignment w:val="center"/>
              <w:rPr>
                <w:rFonts w:hint="eastAsia" w:ascii="仿宋_GB2312" w:hAnsi="宋体" w:eastAsia="仿宋_GB2312" w:cs="仿宋_GB2312"/>
                <w:kern w:val="0"/>
                <w:sz w:val="22"/>
                <w:szCs w:val="22"/>
                <w:lang w:val="en-US" w:eastAsia="zh-CN" w:bidi="ar"/>
              </w:rPr>
            </w:pPr>
          </w:p>
        </w:tc>
        <w:tc>
          <w:tcPr>
            <w:tcW w:w="1257" w:type="dxa"/>
            <w:vMerge w:val="continue"/>
            <w:noWrap w:val="0"/>
            <w:vAlign w:val="center"/>
          </w:tcPr>
          <w:p w14:paraId="0D1A2E98">
            <w:pPr>
              <w:widowControl/>
              <w:spacing w:line="240" w:lineRule="auto"/>
              <w:ind w:leftChars="0"/>
              <w:jc w:val="center"/>
              <w:textAlignment w:val="center"/>
              <w:rPr>
                <w:rFonts w:hint="eastAsia" w:ascii="仿宋_GB2312" w:hAnsi="宋体" w:eastAsia="仿宋_GB2312" w:cs="仿宋_GB2312"/>
                <w:kern w:val="0"/>
                <w:sz w:val="22"/>
                <w:szCs w:val="22"/>
                <w:lang w:val="en-US" w:eastAsia="zh-CN" w:bidi="ar"/>
              </w:rPr>
            </w:pPr>
          </w:p>
        </w:tc>
        <w:tc>
          <w:tcPr>
            <w:tcW w:w="1042" w:type="dxa"/>
            <w:vMerge w:val="continue"/>
            <w:noWrap w:val="0"/>
            <w:vAlign w:val="center"/>
          </w:tcPr>
          <w:p w14:paraId="3D628330">
            <w:pPr>
              <w:pStyle w:val="7"/>
              <w:spacing w:line="240" w:lineRule="auto"/>
              <w:ind w:leftChars="0"/>
              <w:jc w:val="center"/>
              <w:rPr>
                <w:rFonts w:hint="eastAsia" w:ascii="仿宋_GB2312" w:hAnsi="宋体" w:eastAsia="仿宋_GB2312" w:cs="仿宋_GB2312"/>
                <w:kern w:val="0"/>
                <w:sz w:val="22"/>
                <w:lang w:val="en-US" w:eastAsia="zh-CN" w:bidi="ar"/>
              </w:rPr>
            </w:pPr>
          </w:p>
        </w:tc>
        <w:tc>
          <w:tcPr>
            <w:tcW w:w="1017" w:type="dxa"/>
            <w:vMerge w:val="continue"/>
            <w:noWrap w:val="0"/>
            <w:vAlign w:val="center"/>
          </w:tcPr>
          <w:p w14:paraId="08164582">
            <w:pPr>
              <w:spacing w:line="240" w:lineRule="auto"/>
              <w:ind w:leftChars="0"/>
              <w:jc w:val="center"/>
              <w:rPr>
                <w:rFonts w:hint="eastAsia" w:ascii="仿宋_GB2312" w:hAnsi="仿宋_GB2312" w:eastAsia="仿宋_GB2312" w:cs="仿宋_GB2312"/>
                <w:sz w:val="24"/>
                <w:lang w:val="en-US" w:eastAsia="zh-CN"/>
              </w:rPr>
            </w:pPr>
          </w:p>
        </w:tc>
      </w:tr>
      <w:tr w14:paraId="6FF3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2" w:hRule="atLeast"/>
        </w:trPr>
        <w:tc>
          <w:tcPr>
            <w:tcW w:w="1088" w:type="dxa"/>
            <w:vMerge w:val="continue"/>
            <w:noWrap w:val="0"/>
            <w:vAlign w:val="center"/>
          </w:tcPr>
          <w:p w14:paraId="4462CD77">
            <w:pPr>
              <w:widowControl/>
              <w:spacing w:line="240" w:lineRule="auto"/>
              <w:ind w:leftChars="0"/>
              <w:textAlignment w:val="center"/>
              <w:rPr>
                <w:rFonts w:hint="eastAsia" w:ascii="仿宋_GB2312" w:hAnsi="仿宋_GB2312" w:eastAsia="仿宋_GB2312" w:cs="仿宋_GB2312"/>
                <w:sz w:val="24"/>
                <w:lang w:val="en-US" w:eastAsia="zh-CN"/>
              </w:rPr>
            </w:pPr>
          </w:p>
        </w:tc>
        <w:tc>
          <w:tcPr>
            <w:tcW w:w="1069" w:type="dxa"/>
            <w:vMerge w:val="continue"/>
            <w:noWrap w:val="0"/>
            <w:vAlign w:val="center"/>
          </w:tcPr>
          <w:p w14:paraId="3493B000">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4122" w:type="dxa"/>
            <w:vMerge w:val="continue"/>
            <w:noWrap w:val="0"/>
            <w:vAlign w:val="center"/>
          </w:tcPr>
          <w:p w14:paraId="5410577D">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p>
        </w:tc>
        <w:tc>
          <w:tcPr>
            <w:tcW w:w="4371" w:type="dxa"/>
            <w:vMerge w:val="continue"/>
            <w:noWrap w:val="0"/>
            <w:vAlign w:val="center"/>
          </w:tcPr>
          <w:p w14:paraId="3668DDBE">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p>
        </w:tc>
        <w:tc>
          <w:tcPr>
            <w:tcW w:w="1350" w:type="dxa"/>
            <w:vMerge w:val="continue"/>
            <w:shd w:val="clear" w:color="auto" w:fill="auto"/>
            <w:noWrap w:val="0"/>
            <w:vAlign w:val="center"/>
          </w:tcPr>
          <w:p w14:paraId="598669EA">
            <w:pPr>
              <w:widowControl/>
              <w:spacing w:line="240" w:lineRule="auto"/>
              <w:jc w:val="center"/>
              <w:textAlignment w:val="center"/>
              <w:rPr>
                <w:rFonts w:hint="eastAsia" w:ascii="仿宋_GB2312" w:hAnsi="宋体" w:eastAsia="仿宋_GB2312" w:cs="仿宋_GB2312"/>
                <w:kern w:val="0"/>
                <w:sz w:val="22"/>
                <w:szCs w:val="22"/>
                <w:lang w:val="en-US" w:eastAsia="zh-CN" w:bidi="ar"/>
              </w:rPr>
            </w:pPr>
          </w:p>
        </w:tc>
        <w:tc>
          <w:tcPr>
            <w:tcW w:w="1257" w:type="dxa"/>
            <w:noWrap w:val="0"/>
            <w:vAlign w:val="center"/>
          </w:tcPr>
          <w:p w14:paraId="438497B5">
            <w:pPr>
              <w:widowControl/>
              <w:spacing w:line="240" w:lineRule="auto"/>
              <w:ind w:leftChars="0"/>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学工处</w:t>
            </w:r>
          </w:p>
        </w:tc>
        <w:tc>
          <w:tcPr>
            <w:tcW w:w="1042" w:type="dxa"/>
            <w:noWrap w:val="0"/>
            <w:vAlign w:val="center"/>
          </w:tcPr>
          <w:p w14:paraId="060A8701">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蔡国民</w:t>
            </w:r>
          </w:p>
        </w:tc>
        <w:tc>
          <w:tcPr>
            <w:tcW w:w="1017" w:type="dxa"/>
            <w:noWrap w:val="0"/>
            <w:vAlign w:val="center"/>
          </w:tcPr>
          <w:p w14:paraId="6D3DD1B7">
            <w:pPr>
              <w:spacing w:line="240" w:lineRule="auto"/>
              <w:ind w:left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2025.12.31</w:t>
            </w:r>
          </w:p>
        </w:tc>
      </w:tr>
      <w:tr w14:paraId="3C91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9" w:hRule="atLeast"/>
        </w:trPr>
        <w:tc>
          <w:tcPr>
            <w:tcW w:w="15316" w:type="dxa"/>
            <w:gridSpan w:val="8"/>
            <w:noWrap w:val="0"/>
            <w:vAlign w:val="center"/>
          </w:tcPr>
          <w:p w14:paraId="1CC15C01">
            <w:pPr>
              <w:spacing w:line="240" w:lineRule="auto"/>
              <w:ind w:leftChars="0"/>
              <w:jc w:val="left"/>
              <w:rPr>
                <w:rFonts w:hint="default" w:ascii="仿宋_GB2312" w:hAnsi="仿宋_GB2312" w:eastAsia="仿宋_GB2312" w:cs="仿宋_GB2312"/>
                <w:sz w:val="24"/>
                <w:lang w:val="en-US" w:eastAsia="zh-CN"/>
              </w:rPr>
            </w:pPr>
            <w:r>
              <w:rPr>
                <w:rFonts w:hint="eastAsia" w:ascii="楷体" w:hAnsi="楷体" w:eastAsia="楷体" w:cs="楷体"/>
                <w:color w:val="000000"/>
                <w:sz w:val="28"/>
                <w:szCs w:val="28"/>
                <w:lang w:val="en-US" w:eastAsia="zh-CN"/>
              </w:rPr>
              <w:t>二</w:t>
            </w:r>
            <w:r>
              <w:rPr>
                <w:rFonts w:hint="eastAsia" w:ascii="楷体" w:hAnsi="楷体" w:eastAsia="楷体" w:cs="楷体"/>
                <w:color w:val="000000"/>
                <w:sz w:val="28"/>
                <w:szCs w:val="28"/>
              </w:rPr>
              <w:t>、</w:t>
            </w:r>
            <w:r>
              <w:rPr>
                <w:rFonts w:hint="eastAsia" w:ascii="楷体" w:hAnsi="楷体" w:eastAsia="楷体" w:cs="楷体"/>
                <w:color w:val="000000"/>
                <w:sz w:val="28"/>
                <w:szCs w:val="28"/>
                <w:lang w:val="en-US" w:eastAsia="zh-CN"/>
              </w:rPr>
              <w:t>反面典型案例剖析</w:t>
            </w:r>
          </w:p>
        </w:tc>
      </w:tr>
      <w:tr w14:paraId="067E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7" w:hRule="atLeast"/>
        </w:trPr>
        <w:tc>
          <w:tcPr>
            <w:tcW w:w="1088" w:type="dxa"/>
            <w:vMerge w:val="restart"/>
            <w:noWrap w:val="0"/>
            <w:vAlign w:val="center"/>
          </w:tcPr>
          <w:p w14:paraId="2134CD63">
            <w:pPr>
              <w:widowControl/>
              <w:spacing w:line="240" w:lineRule="auto"/>
              <w:ind w:leftChars="0"/>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个别党员领导干部违纪违规</w:t>
            </w:r>
          </w:p>
        </w:tc>
        <w:tc>
          <w:tcPr>
            <w:tcW w:w="1069" w:type="dxa"/>
            <w:noWrap w:val="0"/>
            <w:vAlign w:val="center"/>
          </w:tcPr>
          <w:p w14:paraId="0B67A712">
            <w:pPr>
              <w:widowControl/>
              <w:tabs>
                <w:tab w:val="left" w:pos="1123"/>
              </w:tabs>
              <w:spacing w:line="240" w:lineRule="auto"/>
              <w:ind w:leftChars="0"/>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教育管理不够到位</w:t>
            </w:r>
          </w:p>
        </w:tc>
        <w:tc>
          <w:tcPr>
            <w:tcW w:w="4122" w:type="dxa"/>
            <w:noWrap w:val="0"/>
            <w:vAlign w:val="center"/>
          </w:tcPr>
          <w:p w14:paraId="45BDB440">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领导班子在对有些部门人员的廉洁教育方面存在薄弱环节，没有做到常态化、多样化教育，导致部分人员廉洁意识淡薄，对收受礼品礼金的危害性认识不足。在日常管理中，对部门工作流程的监督不够细致，未能及时发现潜在的廉洁风险点。</w:t>
            </w:r>
          </w:p>
        </w:tc>
        <w:tc>
          <w:tcPr>
            <w:tcW w:w="4371" w:type="dxa"/>
            <w:noWrap w:val="0"/>
            <w:vAlign w:val="center"/>
          </w:tcPr>
          <w:p w14:paraId="351D5313">
            <w:pPr>
              <w:pStyle w:val="4"/>
              <w:widowControl w:val="0"/>
              <w:shd w:val="clear" w:color="auto" w:fill="FFFFFF"/>
              <w:tabs>
                <w:tab w:val="left" w:pos="1160"/>
              </w:tabs>
              <w:spacing w:before="0" w:beforeAutospacing="0" w:after="0" w:afterAutospacing="0" w:line="240" w:lineRule="auto"/>
              <w:ind w:leftChars="0"/>
              <w:rPr>
                <w:rFonts w:hint="default" w:ascii="仿宋_GB2312" w:eastAsia="仿宋_GB2312" w:cs="仿宋_GB2312"/>
                <w:b w:val="0"/>
                <w:bCs w:val="0"/>
                <w:sz w:val="22"/>
                <w:szCs w:val="22"/>
                <w:lang w:val="en-US" w:eastAsia="zh-CN" w:bidi="ar"/>
              </w:rPr>
            </w:pPr>
            <w:r>
              <w:rPr>
                <w:rFonts w:hint="eastAsia" w:ascii="仿宋_GB2312" w:hAnsi="宋体" w:eastAsia="仿宋_GB2312" w:cs="仿宋_GB2312"/>
                <w:b w:val="0"/>
                <w:bCs w:val="0"/>
                <w:sz w:val="22"/>
                <w:szCs w:val="22"/>
                <w:lang w:val="en-US" w:eastAsia="zh-CN" w:bidi="ar"/>
              </w:rPr>
              <w:t>1.</w:t>
            </w:r>
            <w:r>
              <w:rPr>
                <w:rFonts w:hint="eastAsia" w:ascii="仿宋_GB2312" w:eastAsia="仿宋_GB2312" w:cs="仿宋_GB2312"/>
                <w:b w:val="0"/>
                <w:bCs w:val="0"/>
                <w:sz w:val="22"/>
                <w:szCs w:val="22"/>
                <w:lang w:val="en-US" w:eastAsia="zh-CN" w:bidi="ar"/>
              </w:rPr>
              <w:t>严格落实全面从严治党“一岗双责”。严格落实党委班子成员联系工作制度，督促班子成员采取谈心谈话、参加会议、集中授课、调研指导等方式，加强对联系单位的指导帮带和监督检查，并将班子成员落实“一岗双责”情况纳入年度述职报告和述责述廉报告中，每年向学院党委报告。</w:t>
            </w:r>
          </w:p>
          <w:p w14:paraId="7870A7CD">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eastAsia="仿宋_GB2312" w:cs="仿宋_GB2312"/>
                <w:b w:val="0"/>
                <w:bCs w:val="0"/>
                <w:sz w:val="22"/>
                <w:szCs w:val="22"/>
                <w:lang w:val="en-US" w:eastAsia="zh-CN" w:bidi="ar"/>
              </w:rPr>
              <w:t>2.加强日常监督提醒。通过开展日常监督检查、开展廉政谈话、廉洁警示教育等方式，</w:t>
            </w:r>
            <w:r>
              <w:rPr>
                <w:rFonts w:hint="eastAsia" w:ascii="仿宋_GB2312" w:eastAsia="仿宋_GB2312" w:cs="仿宋_GB2312"/>
                <w:sz w:val="22"/>
                <w:szCs w:val="22"/>
                <w:lang w:val="en-US" w:eastAsia="zh-CN" w:bidi="ar"/>
              </w:rPr>
              <w:t>对所分管联系单位开展常态化提示提醒和廉洁警示教育，</w:t>
            </w:r>
            <w:r>
              <w:rPr>
                <w:rFonts w:hint="eastAsia" w:ascii="仿宋_GB2312" w:hAnsi="宋体" w:eastAsia="仿宋_GB2312" w:cs="仿宋_GB2312"/>
                <w:sz w:val="22"/>
                <w:szCs w:val="22"/>
                <w:lang w:val="en-US" w:eastAsia="zh-CN" w:bidi="ar"/>
              </w:rPr>
              <w:t>深化党章党规党纪和法律法规学习，特别是</w:t>
            </w:r>
            <w:r>
              <w:rPr>
                <w:rFonts w:hint="eastAsia" w:ascii="仿宋_GB2312" w:eastAsia="仿宋_GB2312" w:cs="仿宋_GB2312"/>
                <w:kern w:val="0"/>
                <w:sz w:val="22"/>
                <w:szCs w:val="22"/>
                <w:lang w:val="en-US" w:eastAsia="zh-CN" w:bidi="ar"/>
              </w:rPr>
              <w:t>关于违规收受礼品礼金的纪律条款，引导党员干部强化党员干部纪法意识、遵规守纪观念，深刻认识收受名贵特产和礼品礼金的实质与危害，</w:t>
            </w:r>
            <w:r>
              <w:rPr>
                <w:rFonts w:hint="eastAsia" w:ascii="仿宋_GB2312" w:hAnsi="宋体" w:eastAsia="仿宋_GB2312" w:cs="仿宋_GB2312"/>
                <w:sz w:val="22"/>
                <w:szCs w:val="22"/>
                <w:lang w:val="en-US" w:eastAsia="zh-CN" w:bidi="ar"/>
              </w:rPr>
              <w:t>把廉洁要求抓在经常、融入日常、浸润人心。</w:t>
            </w:r>
          </w:p>
        </w:tc>
        <w:tc>
          <w:tcPr>
            <w:tcW w:w="1350" w:type="dxa"/>
            <w:shd w:val="clear" w:color="auto" w:fill="auto"/>
            <w:noWrap w:val="0"/>
            <w:vAlign w:val="center"/>
          </w:tcPr>
          <w:p w14:paraId="3DF8026D">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柯金国</w:t>
            </w:r>
          </w:p>
          <w:p w14:paraId="05D419D0">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许冬红</w:t>
            </w:r>
          </w:p>
          <w:p w14:paraId="5C12F5D6">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林新钊</w:t>
            </w:r>
          </w:p>
          <w:p w14:paraId="00C3A6C2">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陈金毓</w:t>
            </w:r>
          </w:p>
          <w:p w14:paraId="24034E65">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阮春高</w:t>
            </w:r>
          </w:p>
          <w:p w14:paraId="082745E4">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4"/>
                <w:szCs w:val="24"/>
                <w:lang w:val="en-US" w:eastAsia="zh-CN" w:bidi="ar"/>
              </w:rPr>
              <w:t>张凡</w:t>
            </w:r>
          </w:p>
          <w:p w14:paraId="053D9E73">
            <w:pPr>
              <w:widowControl/>
              <w:spacing w:line="240" w:lineRule="auto"/>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兰希红</w:t>
            </w:r>
          </w:p>
        </w:tc>
        <w:tc>
          <w:tcPr>
            <w:tcW w:w="1257" w:type="dxa"/>
            <w:noWrap w:val="0"/>
            <w:vAlign w:val="center"/>
          </w:tcPr>
          <w:p w14:paraId="237332F5">
            <w:pPr>
              <w:widowControl/>
              <w:spacing w:line="240" w:lineRule="auto"/>
              <w:ind w:leftChars="0"/>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纪委办</w:t>
            </w:r>
          </w:p>
        </w:tc>
        <w:tc>
          <w:tcPr>
            <w:tcW w:w="1042" w:type="dxa"/>
            <w:noWrap w:val="0"/>
            <w:vAlign w:val="center"/>
          </w:tcPr>
          <w:p w14:paraId="00A17833">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郑志鹏</w:t>
            </w:r>
          </w:p>
        </w:tc>
        <w:tc>
          <w:tcPr>
            <w:tcW w:w="1017" w:type="dxa"/>
            <w:noWrap w:val="0"/>
            <w:vAlign w:val="center"/>
          </w:tcPr>
          <w:p w14:paraId="4423ED89">
            <w:pPr>
              <w:spacing w:line="240" w:lineRule="auto"/>
              <w:ind w:left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今年年底并长久立</w:t>
            </w:r>
          </w:p>
        </w:tc>
      </w:tr>
      <w:tr w14:paraId="7F4E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54" w:hRule="atLeast"/>
        </w:trPr>
        <w:tc>
          <w:tcPr>
            <w:tcW w:w="1088" w:type="dxa"/>
            <w:vMerge w:val="continue"/>
            <w:noWrap w:val="0"/>
            <w:vAlign w:val="center"/>
          </w:tcPr>
          <w:p w14:paraId="5EA42A77">
            <w:pPr>
              <w:widowControl/>
              <w:spacing w:line="240" w:lineRule="auto"/>
              <w:ind w:leftChars="0"/>
              <w:textAlignment w:val="center"/>
              <w:rPr>
                <w:rFonts w:hint="eastAsia" w:ascii="仿宋_GB2312" w:hAnsi="仿宋_GB2312" w:eastAsia="仿宋_GB2312" w:cs="仿宋_GB2312"/>
                <w:sz w:val="24"/>
                <w:lang w:val="en-US" w:eastAsia="zh-CN"/>
              </w:rPr>
            </w:pPr>
          </w:p>
        </w:tc>
        <w:tc>
          <w:tcPr>
            <w:tcW w:w="1069" w:type="dxa"/>
            <w:noWrap w:val="0"/>
            <w:vAlign w:val="center"/>
          </w:tcPr>
          <w:p w14:paraId="05C07838">
            <w:pPr>
              <w:widowControl/>
              <w:tabs>
                <w:tab w:val="left" w:pos="1123"/>
              </w:tabs>
              <w:spacing w:line="240" w:lineRule="auto"/>
              <w:ind w:leftChars="0"/>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制度执行不够严格</w:t>
            </w:r>
          </w:p>
        </w:tc>
        <w:tc>
          <w:tcPr>
            <w:tcW w:w="4122" w:type="dxa"/>
            <w:noWrap w:val="0"/>
            <w:vAlign w:val="center"/>
          </w:tcPr>
          <w:p w14:paraId="057A48AF">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对个别人员收受礼品礼金这类行为的监督和惩处机制未能严格落实，存在制度执行漏洞现象。对礼品礼金收受行为的界定不够清晰，导致在执行过程中存在模糊地带</w:t>
            </w:r>
          </w:p>
        </w:tc>
        <w:tc>
          <w:tcPr>
            <w:tcW w:w="4371" w:type="dxa"/>
            <w:noWrap w:val="0"/>
            <w:vAlign w:val="center"/>
          </w:tcPr>
          <w:p w14:paraId="250EB7E7">
            <w:pPr>
              <w:pStyle w:val="4"/>
              <w:widowControl w:val="0"/>
              <w:shd w:val="clear" w:color="auto" w:fill="FFFFFF"/>
              <w:tabs>
                <w:tab w:val="left" w:pos="1160"/>
              </w:tabs>
              <w:spacing w:before="0" w:beforeAutospacing="0" w:after="0" w:afterAutospacing="0" w:line="240" w:lineRule="auto"/>
              <w:ind w:leftChars="0"/>
              <w:rPr>
                <w:rFonts w:hint="default" w:ascii="仿宋_GB2312" w:eastAsia="仿宋_GB2312" w:cs="仿宋_GB2312"/>
                <w:b w:val="0"/>
                <w:bCs w:val="0"/>
                <w:sz w:val="22"/>
                <w:szCs w:val="22"/>
                <w:lang w:val="en-US" w:eastAsia="zh-CN" w:bidi="ar"/>
              </w:rPr>
            </w:pPr>
            <w:r>
              <w:rPr>
                <w:rFonts w:hint="eastAsia" w:ascii="仿宋_GB2312" w:hAnsi="宋体" w:eastAsia="仿宋_GB2312" w:cs="仿宋_GB2312"/>
                <w:b w:val="0"/>
                <w:bCs w:val="0"/>
                <w:sz w:val="22"/>
                <w:szCs w:val="22"/>
                <w:lang w:val="en-US" w:eastAsia="zh-CN" w:bidi="ar"/>
              </w:rPr>
              <w:t>1.</w:t>
            </w:r>
            <w:r>
              <w:rPr>
                <w:rFonts w:hint="eastAsia" w:ascii="仿宋_GB2312" w:eastAsia="仿宋_GB2312" w:cs="仿宋_GB2312"/>
                <w:b w:val="0"/>
                <w:bCs w:val="0"/>
                <w:sz w:val="22"/>
                <w:szCs w:val="22"/>
                <w:lang w:val="en-US" w:eastAsia="zh-CN" w:bidi="ar"/>
              </w:rPr>
              <w:t>严明界限，完善机制。督促各级党组织围绕</w:t>
            </w:r>
          </w:p>
          <w:p w14:paraId="67A8D627">
            <w:pPr>
              <w:pStyle w:val="4"/>
              <w:widowControl w:val="0"/>
              <w:shd w:val="clear" w:color="auto" w:fill="FFFFFF"/>
              <w:tabs>
                <w:tab w:val="left" w:pos="1160"/>
              </w:tabs>
              <w:spacing w:before="0" w:beforeAutospacing="0" w:after="0" w:afterAutospacing="0" w:line="240" w:lineRule="auto"/>
              <w:ind w:leftChars="0"/>
              <w:rPr>
                <w:rFonts w:hint="default" w:ascii="仿宋_GB2312" w:eastAsia="仿宋_GB2312" w:cs="仿宋_GB2312"/>
                <w:b w:val="0"/>
                <w:bCs w:val="0"/>
                <w:sz w:val="22"/>
                <w:szCs w:val="22"/>
                <w:lang w:val="en-US" w:eastAsia="zh-CN" w:bidi="ar"/>
              </w:rPr>
            </w:pPr>
            <w:r>
              <w:rPr>
                <w:rFonts w:hint="eastAsia" w:ascii="仿宋_GB2312" w:eastAsia="仿宋_GB2312" w:cs="仿宋_GB2312"/>
                <w:b w:val="0"/>
                <w:bCs w:val="0"/>
                <w:sz w:val="22"/>
                <w:szCs w:val="22"/>
                <w:lang w:val="en-US" w:eastAsia="zh-CN" w:bidi="ar"/>
              </w:rPr>
              <w:t>违规收受礼品礼金问题开展纪法教育，学习上级文件规定和党章党规党纪中的相关内容，引导教职工进一步明确违规收受礼品礼金行为的真实界定。</w:t>
            </w:r>
          </w:p>
          <w:p w14:paraId="312BD528">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eastAsia="仿宋_GB2312" w:cs="仿宋_GB2312"/>
                <w:b w:val="0"/>
                <w:bCs w:val="0"/>
                <w:sz w:val="22"/>
                <w:szCs w:val="22"/>
                <w:lang w:val="en-US" w:eastAsia="zh-CN" w:bidi="ar"/>
              </w:rPr>
              <w:t>2.严纠“四风”，加强督查。严格落实每年一次礼品礼金登记汇总与报送工作，组织基层单位和全体教职工开展收受礼品礼金自查自纠工作，并延伸开展公车使用、违规吃喝、违规报销等问题的监督检查，加强对各级违反中央八项规定精神及“四风”问题典型案例的通报曝光，对监督检查、群众反映中发现的违规收受礼品礼金问题从严从重从快处理，以案示警、以案正风。</w:t>
            </w:r>
          </w:p>
        </w:tc>
        <w:tc>
          <w:tcPr>
            <w:tcW w:w="1350" w:type="dxa"/>
            <w:shd w:val="clear" w:color="auto" w:fill="auto"/>
            <w:noWrap w:val="0"/>
            <w:vAlign w:val="center"/>
          </w:tcPr>
          <w:p w14:paraId="13D553CE">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柯金国</w:t>
            </w:r>
          </w:p>
          <w:p w14:paraId="77E5E398">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许冬红</w:t>
            </w:r>
          </w:p>
          <w:p w14:paraId="65A0453F">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林新钊</w:t>
            </w:r>
          </w:p>
          <w:p w14:paraId="0DD6DBD1">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陈金毓</w:t>
            </w:r>
          </w:p>
          <w:p w14:paraId="4509720E">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阮春高</w:t>
            </w:r>
          </w:p>
          <w:p w14:paraId="445490A2">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4"/>
                <w:szCs w:val="24"/>
                <w:lang w:val="en-US" w:eastAsia="zh-CN" w:bidi="ar"/>
              </w:rPr>
              <w:t>张凡</w:t>
            </w:r>
          </w:p>
          <w:p w14:paraId="7EEE2A42">
            <w:pPr>
              <w:widowControl/>
              <w:spacing w:line="240" w:lineRule="auto"/>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兰希红</w:t>
            </w:r>
          </w:p>
        </w:tc>
        <w:tc>
          <w:tcPr>
            <w:tcW w:w="1257" w:type="dxa"/>
            <w:noWrap w:val="0"/>
            <w:vAlign w:val="center"/>
          </w:tcPr>
          <w:p w14:paraId="7F0D7679">
            <w:pPr>
              <w:widowControl/>
              <w:spacing w:line="240" w:lineRule="auto"/>
              <w:ind w:leftChars="0"/>
              <w:jc w:val="center"/>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纪委办</w:t>
            </w:r>
          </w:p>
        </w:tc>
        <w:tc>
          <w:tcPr>
            <w:tcW w:w="1042" w:type="dxa"/>
            <w:noWrap w:val="0"/>
            <w:vAlign w:val="center"/>
          </w:tcPr>
          <w:p w14:paraId="44AD4A5D">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郑志鹏</w:t>
            </w:r>
          </w:p>
        </w:tc>
        <w:tc>
          <w:tcPr>
            <w:tcW w:w="1017" w:type="dxa"/>
            <w:noWrap w:val="0"/>
            <w:vAlign w:val="center"/>
          </w:tcPr>
          <w:p w14:paraId="09585AAE">
            <w:pPr>
              <w:spacing w:line="240" w:lineRule="auto"/>
              <w:ind w:left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今年年底并长久立</w:t>
            </w:r>
          </w:p>
        </w:tc>
      </w:tr>
      <w:tr w14:paraId="17F6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46" w:hRule="atLeast"/>
        </w:trPr>
        <w:tc>
          <w:tcPr>
            <w:tcW w:w="1088" w:type="dxa"/>
            <w:vMerge w:val="continue"/>
            <w:noWrap w:val="0"/>
            <w:vAlign w:val="center"/>
          </w:tcPr>
          <w:p w14:paraId="5B9A9689">
            <w:pPr>
              <w:widowControl/>
              <w:spacing w:line="240" w:lineRule="auto"/>
              <w:ind w:leftChars="0"/>
              <w:textAlignment w:val="center"/>
              <w:rPr>
                <w:rFonts w:hint="eastAsia" w:ascii="仿宋_GB2312" w:hAnsi="仿宋_GB2312" w:eastAsia="仿宋_GB2312" w:cs="仿宋_GB2312"/>
                <w:sz w:val="24"/>
                <w:lang w:val="en-US" w:eastAsia="zh-CN"/>
              </w:rPr>
            </w:pPr>
          </w:p>
        </w:tc>
        <w:tc>
          <w:tcPr>
            <w:tcW w:w="1069" w:type="dxa"/>
            <w:noWrap w:val="0"/>
            <w:vAlign w:val="center"/>
          </w:tcPr>
          <w:p w14:paraId="49631617">
            <w:pPr>
              <w:widowControl/>
              <w:tabs>
                <w:tab w:val="left" w:pos="1123"/>
              </w:tabs>
              <w:spacing w:line="240" w:lineRule="auto"/>
              <w:ind w:leftChars="0"/>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示范引领发挥不足</w:t>
            </w:r>
          </w:p>
        </w:tc>
        <w:tc>
          <w:tcPr>
            <w:tcW w:w="4122" w:type="dxa"/>
            <w:noWrap w:val="0"/>
            <w:vAlign w:val="center"/>
          </w:tcPr>
          <w:p w14:paraId="3EE074C9">
            <w:pPr>
              <w:widowControl/>
              <w:tabs>
                <w:tab w:val="left" w:pos="1123"/>
              </w:tabs>
              <w:spacing w:line="240" w:lineRule="auto"/>
              <w:ind w:leftChars="0"/>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对有些部门的指导和引领上，没有充分发挥模范带头作用，对相关人员的廉洁自律要求不够严格，未能形成良好的廉洁文化氛围</w:t>
            </w:r>
          </w:p>
        </w:tc>
        <w:tc>
          <w:tcPr>
            <w:tcW w:w="4371" w:type="dxa"/>
            <w:noWrap w:val="0"/>
            <w:vAlign w:val="center"/>
          </w:tcPr>
          <w:p w14:paraId="42ACF8A6">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b w:val="0"/>
                <w:bCs w:val="0"/>
                <w:sz w:val="22"/>
                <w:szCs w:val="22"/>
                <w:lang w:val="en-US" w:eastAsia="zh-CN" w:bidi="ar"/>
              </w:rPr>
            </w:pPr>
            <w:r>
              <w:rPr>
                <w:rFonts w:hint="eastAsia" w:ascii="仿宋_GB2312" w:eastAsia="仿宋_GB2312" w:cs="仿宋_GB2312"/>
                <w:b w:val="0"/>
                <w:bCs w:val="0"/>
                <w:sz w:val="22"/>
                <w:szCs w:val="22"/>
                <w:lang w:val="en-US" w:eastAsia="zh-CN" w:bidi="ar"/>
              </w:rPr>
              <w:t>1.切实发挥“头雁作用”。从党委班子成员自身做起，带头严格执行政治纪律和政治规矩，严格遵守党章党规党纪和国家法律，严格落实意识形态工作责任制和法治建设要求，以党委班子成员的模范带头作用以点带面辐射分管联系单位。</w:t>
            </w:r>
          </w:p>
          <w:p w14:paraId="1A2457F7">
            <w:pPr>
              <w:pStyle w:val="4"/>
              <w:widowControl w:val="0"/>
              <w:shd w:val="clear" w:color="auto" w:fill="FFFFFF"/>
              <w:tabs>
                <w:tab w:val="left" w:pos="1160"/>
              </w:tabs>
              <w:spacing w:before="0" w:beforeAutospacing="0" w:after="0" w:afterAutospacing="0" w:line="240" w:lineRule="auto"/>
              <w:ind w:leftChars="0"/>
              <w:rPr>
                <w:rFonts w:hint="eastAsia" w:ascii="仿宋_GB2312" w:eastAsia="仿宋_GB2312" w:cs="仿宋_GB2312"/>
                <w:sz w:val="22"/>
                <w:szCs w:val="22"/>
                <w:lang w:eastAsia="zh-CN" w:bidi="ar"/>
              </w:rPr>
            </w:pPr>
            <w:r>
              <w:rPr>
                <w:rFonts w:hint="eastAsia" w:ascii="仿宋_GB2312" w:eastAsia="仿宋_GB2312" w:cs="仿宋_GB2312"/>
                <w:b w:val="0"/>
                <w:bCs w:val="0"/>
                <w:sz w:val="22"/>
                <w:szCs w:val="22"/>
                <w:lang w:val="en-US" w:eastAsia="zh-CN" w:bidi="ar"/>
              </w:rPr>
              <w:t>2.切实落实“一岗双责”。严格落实班子成员全面从严治党“一岗双责”和班子成员联系工作制度，督促班子成员采取谈心谈话、参加会议、集中授课、调研指导等方式，加强对联系单位党组织和教职工的指导帮带和廉洁自律制度执行情况的监督检查，分层分类开展警示教育，对落实全面从严治党“主体责任”不力的部门负责人进行约谈提醒，对违规行为严肃追责问责，引导全体教职工牢固树立廉洁自律意识。</w:t>
            </w:r>
          </w:p>
        </w:tc>
        <w:tc>
          <w:tcPr>
            <w:tcW w:w="1350" w:type="dxa"/>
            <w:shd w:val="clear" w:color="auto" w:fill="auto"/>
            <w:noWrap w:val="0"/>
            <w:vAlign w:val="center"/>
          </w:tcPr>
          <w:p w14:paraId="0E16D067">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柯金国</w:t>
            </w:r>
          </w:p>
          <w:p w14:paraId="1E63E816">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许冬红</w:t>
            </w:r>
          </w:p>
          <w:p w14:paraId="2825601E">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林新钊</w:t>
            </w:r>
          </w:p>
          <w:p w14:paraId="123A844C">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陈金毓</w:t>
            </w:r>
          </w:p>
          <w:p w14:paraId="4DA43B2D">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阮春高</w:t>
            </w:r>
          </w:p>
          <w:p w14:paraId="79DAB3CA">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4"/>
                <w:szCs w:val="24"/>
                <w:lang w:val="en-US" w:eastAsia="zh-CN" w:bidi="ar"/>
              </w:rPr>
              <w:t>张凡</w:t>
            </w:r>
          </w:p>
          <w:p w14:paraId="15E2C642">
            <w:pPr>
              <w:widowControl/>
              <w:spacing w:line="240" w:lineRule="auto"/>
              <w:jc w:val="center"/>
              <w:textAlignment w:val="center"/>
              <w:rPr>
                <w:rFonts w:hint="default"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兰希红</w:t>
            </w:r>
          </w:p>
        </w:tc>
        <w:tc>
          <w:tcPr>
            <w:tcW w:w="1257" w:type="dxa"/>
            <w:noWrap w:val="0"/>
            <w:vAlign w:val="center"/>
          </w:tcPr>
          <w:p w14:paraId="139AD01D">
            <w:pPr>
              <w:widowControl/>
              <w:spacing w:line="240" w:lineRule="auto"/>
              <w:ind w:leftChars="0"/>
              <w:jc w:val="center"/>
              <w:textAlignment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纪委办</w:t>
            </w:r>
          </w:p>
        </w:tc>
        <w:tc>
          <w:tcPr>
            <w:tcW w:w="1042" w:type="dxa"/>
            <w:noWrap w:val="0"/>
            <w:vAlign w:val="center"/>
          </w:tcPr>
          <w:p w14:paraId="5E5F0771">
            <w:pPr>
              <w:pStyle w:val="7"/>
              <w:spacing w:line="240" w:lineRule="auto"/>
              <w:ind w:leftChars="0"/>
              <w:jc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US" w:eastAsia="zh-CN" w:bidi="ar"/>
              </w:rPr>
              <w:t>郑志鹏</w:t>
            </w:r>
          </w:p>
        </w:tc>
        <w:tc>
          <w:tcPr>
            <w:tcW w:w="1017" w:type="dxa"/>
            <w:noWrap w:val="0"/>
            <w:vAlign w:val="center"/>
          </w:tcPr>
          <w:p w14:paraId="0BBC44B4">
            <w:pPr>
              <w:spacing w:line="240" w:lineRule="auto"/>
              <w:ind w:left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18"/>
                <w:szCs w:val="18"/>
                <w:lang w:val="en-US" w:eastAsia="zh-CN"/>
              </w:rPr>
              <w:t>今年年底并长久立</w:t>
            </w:r>
          </w:p>
        </w:tc>
      </w:tr>
    </w:tbl>
    <w:p w14:paraId="19416BA9">
      <w:pPr>
        <w:pStyle w:val="3"/>
        <w:numPr>
          <w:ilvl w:val="0"/>
          <w:numId w:val="0"/>
        </w:numPr>
        <w:jc w:val="both"/>
        <w:rPr>
          <w:rFonts w:hint="eastAsia" w:ascii="方正小标宋简体" w:hAnsi="方正小标宋简体" w:eastAsia="方正小标宋简体" w:cs="方正小标宋简体"/>
          <w:sz w:val="44"/>
          <w:szCs w:val="44"/>
          <w:lang w:val="en-US" w:eastAsia="zh-CN"/>
        </w:rPr>
        <w:sectPr>
          <w:pgSz w:w="16838" w:h="11906" w:orient="landscape"/>
          <w:pgMar w:top="1587" w:right="2098" w:bottom="1474" w:left="1984" w:header="851" w:footer="992" w:gutter="0"/>
          <w:pgNumType w:fmt="decimal"/>
          <w:cols w:space="0" w:num="1"/>
          <w:rtlGutter w:val="0"/>
          <w:docGrid w:type="lines" w:linePitch="312" w:charSpace="0"/>
        </w:sectPr>
      </w:pPr>
    </w:p>
    <w:p w14:paraId="1996A5FB"/>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00"/>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44E4F"/>
    <w:rsid w:val="09574246"/>
    <w:rsid w:val="4B676E49"/>
    <w:rsid w:val="5A844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99"/>
    <w:pPr>
      <w:spacing w:after="120" w:afterLines="0"/>
      <w:ind w:left="420" w:leftChars="200"/>
    </w:pPr>
  </w:style>
  <w:style w:type="paragraph" w:styleId="3">
    <w:name w:val="Balloon Text"/>
    <w:basedOn w:val="1"/>
    <w:qFormat/>
    <w:uiPriority w:val="0"/>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No Spacing"/>
    <w:autoRedefine/>
    <w:qFormat/>
    <w:uiPriority w:val="0"/>
    <w:pPr>
      <w:widowControl w:val="0"/>
      <w:jc w:val="both"/>
    </w:pPr>
    <w:rPr>
      <w:rFonts w:ascii="Calibri" w:hAnsi="Calibri" w:eastAsia="仿宋" w:cs="Times New Roman"/>
      <w:kern w:val="2"/>
      <w:sz w:val="28"/>
      <w:szCs w:val="22"/>
      <w:lang w:val="en-US" w:eastAsia="zh-CN" w:bidi="ar-SA"/>
    </w:rPr>
  </w:style>
  <w:style w:type="character" w:customStyle="1" w:styleId="8">
    <w:name w:val="NormalCharact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2025-03-12T02:33:00Z</dcterms:created>
  <dc:creator>小灰灰</dc:creator>
  <cp:lastModifiedBy>小灰灰</cp:lastModifiedBy>
  <dcterms:modified xsi:type="dcterms:W3CDTF">2025-03-12T02:34:44Z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B2384884945E40E29592A6B9AE86DF1D_11</vt:lpwstr>
  </property>
  <property fmtid="{D5CDD505-2E9C-101B-9397-08002B2CF9AE}" pid="4" name="KSOTemplateDocerSaveRecord">
    <vt:lpwstr>eyJoZGlkIjoiOWY5ZDBiNWFlMzQzMTgxN2IzY2Y4YWEwNTk3NThmMGQiLCJ1c2VySWQiOiI0NzY2OTM2MjUifQ==</vt:lpwstr>
  </property>
</Properties>
</file>